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0A3C9" w14:textId="77777777" w:rsidR="007B6988" w:rsidRDefault="007B6988" w:rsidP="007B6988">
      <w:pPr>
        <w:pStyle w:val="c19centre"/>
        <w:spacing w:before="0" w:beforeAutospacing="0" w:after="240" w:afterAutospacing="0"/>
        <w:ind w:left="567"/>
        <w:jc w:val="center"/>
        <w:rPr>
          <w:rFonts w:ascii="Arial" w:hAnsi="Arial" w:cs="Arial"/>
          <w:color w:val="000000"/>
          <w:sz w:val="22"/>
          <w:szCs w:val="22"/>
        </w:rPr>
      </w:pPr>
      <w:r>
        <w:rPr>
          <w:rFonts w:ascii="Arial" w:hAnsi="Arial" w:cs="Arial"/>
          <w:color w:val="000000"/>
          <w:sz w:val="22"/>
          <w:szCs w:val="22"/>
        </w:rPr>
        <w:t>SENTENZA DELLA CORTE (Terza Sezione)</w:t>
      </w:r>
    </w:p>
    <w:p w14:paraId="0DF8400C" w14:textId="77777777" w:rsidR="007B6988" w:rsidRDefault="007B6988" w:rsidP="007B6988">
      <w:pPr>
        <w:pStyle w:val="c19centre"/>
        <w:spacing w:before="0" w:beforeAutospacing="0" w:after="240" w:afterAutospacing="0"/>
        <w:ind w:left="567"/>
        <w:jc w:val="center"/>
        <w:rPr>
          <w:rFonts w:ascii="Arial" w:hAnsi="Arial" w:cs="Arial"/>
          <w:color w:val="000000"/>
          <w:sz w:val="22"/>
          <w:szCs w:val="22"/>
        </w:rPr>
      </w:pPr>
      <w:r>
        <w:rPr>
          <w:rFonts w:ascii="Arial" w:hAnsi="Arial" w:cs="Arial"/>
          <w:color w:val="000000"/>
          <w:sz w:val="22"/>
          <w:szCs w:val="22"/>
        </w:rPr>
        <w:t>28 luglio 2011 (*)</w:t>
      </w:r>
    </w:p>
    <w:p w14:paraId="07BDC0AA" w14:textId="77777777" w:rsidR="007B6988" w:rsidRDefault="007B6988" w:rsidP="007B6988">
      <w:pPr>
        <w:pStyle w:val="c71indicateur"/>
        <w:spacing w:before="600" w:beforeAutospacing="0" w:after="560" w:afterAutospacing="0"/>
        <w:ind w:left="567"/>
        <w:jc w:val="center"/>
        <w:rPr>
          <w:rFonts w:ascii="Arial" w:hAnsi="Arial" w:cs="Arial"/>
          <w:color w:val="000000"/>
          <w:sz w:val="22"/>
          <w:szCs w:val="22"/>
        </w:rPr>
      </w:pPr>
      <w:r>
        <w:rPr>
          <w:rFonts w:ascii="Arial" w:hAnsi="Arial" w:cs="Arial"/>
          <w:color w:val="000000"/>
          <w:sz w:val="22"/>
          <w:szCs w:val="22"/>
        </w:rPr>
        <w:t>«Appello – Sovvenzioni concesse dalla Repubblica italiana per promuovere l’acquisto di decoder digitali – Non inclusione dei decoder per la ricezione unicamente di programmi televisivi trasmessi via satellite – Decisione che dichiara l’incompatibile dell’aiuto con il mercato comune»</w:t>
      </w:r>
    </w:p>
    <w:p w14:paraId="1594E4FF"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Nel caso C</w:t>
      </w:r>
      <w:r>
        <w:rPr>
          <w:rFonts w:ascii="Cambria Math" w:hAnsi="Cambria Math" w:cs="Cambria Math"/>
          <w:color w:val="000000"/>
          <w:sz w:val="22"/>
          <w:szCs w:val="22"/>
        </w:rPr>
        <w:t>‐</w:t>
      </w:r>
      <w:r>
        <w:rPr>
          <w:rFonts w:ascii="Arial" w:hAnsi="Arial" w:cs="Arial"/>
          <w:color w:val="000000"/>
          <w:sz w:val="22"/>
          <w:szCs w:val="22"/>
        </w:rPr>
        <w:t>403/10 P,</w:t>
      </w:r>
    </w:p>
    <w:p w14:paraId="0C21B6B3"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Impugnazione ai sensi dell'articolo 56 dello statuto della Corte di giustizia dell'Unione europea, presentata il 6 agosto 2010,</w:t>
      </w:r>
    </w:p>
    <w:p w14:paraId="046A9D04"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b/>
          <w:bCs/>
          <w:color w:val="000000"/>
          <w:sz w:val="22"/>
          <w:szCs w:val="22"/>
        </w:rPr>
        <w:t>Mediaset SpA,</w:t>
      </w:r>
      <w:r>
        <w:rPr>
          <w:rStyle w:val="apple-converted-space"/>
          <w:rFonts w:ascii="Arial" w:hAnsi="Arial" w:cs="Arial"/>
          <w:b/>
          <w:bCs/>
          <w:color w:val="000000"/>
          <w:sz w:val="22"/>
          <w:szCs w:val="22"/>
        </w:rPr>
        <w:t> </w:t>
      </w:r>
      <w:r>
        <w:rPr>
          <w:rFonts w:ascii="Arial" w:hAnsi="Arial" w:cs="Arial"/>
          <w:color w:val="000000"/>
          <w:sz w:val="22"/>
          <w:szCs w:val="22"/>
        </w:rPr>
        <w:t>fondata a Milano (Italia), rappresentata da K. Adamantopoulos, dikigoros, G. Rossi, avvocato ed E. Petritsi, dikigoros,</w:t>
      </w:r>
    </w:p>
    <w:p w14:paraId="09164779" w14:textId="77777777" w:rsidR="007B6988" w:rsidRDefault="007B6988" w:rsidP="007B6988">
      <w:pPr>
        <w:pStyle w:val="c72alineadroite"/>
        <w:spacing w:before="0" w:beforeAutospacing="0" w:after="240" w:afterAutospacing="0"/>
        <w:ind w:left="567"/>
        <w:jc w:val="right"/>
        <w:rPr>
          <w:rFonts w:ascii="Arial" w:hAnsi="Arial" w:cs="Arial"/>
          <w:color w:val="000000"/>
          <w:sz w:val="22"/>
          <w:szCs w:val="22"/>
        </w:rPr>
      </w:pPr>
      <w:r>
        <w:rPr>
          <w:rFonts w:ascii="Arial" w:hAnsi="Arial" w:cs="Arial"/>
          <w:color w:val="000000"/>
          <w:sz w:val="22"/>
          <w:szCs w:val="22"/>
        </w:rPr>
        <w:t>ricorrente,</w:t>
      </w:r>
    </w:p>
    <w:p w14:paraId="36C09618"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le altre parti del procedimento sono:</w:t>
      </w:r>
    </w:p>
    <w:p w14:paraId="154AE5D9"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b/>
          <w:bCs/>
          <w:color w:val="000000"/>
          <w:sz w:val="22"/>
          <w:szCs w:val="22"/>
        </w:rPr>
        <w:t>Commissione europea,</w:t>
      </w:r>
      <w:r>
        <w:rPr>
          <w:rStyle w:val="apple-converted-space"/>
          <w:rFonts w:ascii="Arial" w:hAnsi="Arial" w:cs="Arial"/>
          <w:b/>
          <w:bCs/>
          <w:color w:val="000000"/>
          <w:sz w:val="22"/>
          <w:szCs w:val="22"/>
        </w:rPr>
        <w:t> </w:t>
      </w:r>
      <w:r>
        <w:rPr>
          <w:rFonts w:ascii="Arial" w:hAnsi="Arial" w:cs="Arial"/>
          <w:color w:val="000000"/>
          <w:sz w:val="22"/>
          <w:szCs w:val="22"/>
        </w:rPr>
        <w:t>rappresentata da B. Martenczuk e B. Stromsky, in qualità di agenti, con un indirizzo per il servizio in Lussemburgo,</w:t>
      </w:r>
    </w:p>
    <w:p w14:paraId="7560621D" w14:textId="77777777" w:rsidR="007B6988" w:rsidRDefault="007B6988" w:rsidP="007B6988">
      <w:pPr>
        <w:pStyle w:val="c72alineadroite"/>
        <w:spacing w:before="0" w:beforeAutospacing="0" w:after="240" w:afterAutospacing="0"/>
        <w:ind w:left="567"/>
        <w:jc w:val="right"/>
        <w:rPr>
          <w:rFonts w:ascii="Arial" w:hAnsi="Arial" w:cs="Arial"/>
          <w:color w:val="000000"/>
          <w:sz w:val="22"/>
          <w:szCs w:val="22"/>
        </w:rPr>
      </w:pPr>
      <w:r>
        <w:rPr>
          <w:rFonts w:ascii="Arial" w:hAnsi="Arial" w:cs="Arial"/>
          <w:color w:val="000000"/>
          <w:sz w:val="22"/>
          <w:szCs w:val="22"/>
        </w:rPr>
        <w:t>imputato in primo grado,</w:t>
      </w:r>
    </w:p>
    <w:p w14:paraId="0DA0D9CA"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b/>
          <w:bCs/>
          <w:color w:val="000000"/>
          <w:sz w:val="22"/>
          <w:szCs w:val="22"/>
        </w:rPr>
        <w:t>Sky Italia Srl,</w:t>
      </w:r>
      <w:r>
        <w:rPr>
          <w:rStyle w:val="apple-converted-space"/>
          <w:rFonts w:ascii="Arial" w:hAnsi="Arial" w:cs="Arial"/>
          <w:b/>
          <w:bCs/>
          <w:color w:val="000000"/>
          <w:sz w:val="22"/>
          <w:szCs w:val="22"/>
        </w:rPr>
        <w:t> </w:t>
      </w:r>
      <w:r>
        <w:rPr>
          <w:rFonts w:ascii="Arial" w:hAnsi="Arial" w:cs="Arial"/>
          <w:color w:val="000000"/>
          <w:sz w:val="22"/>
          <w:szCs w:val="22"/>
        </w:rPr>
        <w:t>fondata a Roma (Italia), rappresentata da F. González Díaz, avvocato e F. Salerno, avocat,</w:t>
      </w:r>
    </w:p>
    <w:p w14:paraId="6ECFD98B" w14:textId="77777777" w:rsidR="007B6988" w:rsidRDefault="007B6988" w:rsidP="007B6988">
      <w:pPr>
        <w:pStyle w:val="c72alineadroite"/>
        <w:spacing w:before="0" w:beforeAutospacing="0" w:after="240" w:afterAutospacing="0"/>
        <w:ind w:left="567"/>
        <w:jc w:val="right"/>
        <w:rPr>
          <w:rFonts w:ascii="Arial" w:hAnsi="Arial" w:cs="Arial"/>
          <w:color w:val="000000"/>
          <w:sz w:val="22"/>
          <w:szCs w:val="22"/>
        </w:rPr>
      </w:pPr>
      <w:r>
        <w:rPr>
          <w:rFonts w:ascii="Arial" w:hAnsi="Arial" w:cs="Arial"/>
          <w:color w:val="000000"/>
          <w:sz w:val="22"/>
          <w:szCs w:val="22"/>
        </w:rPr>
        <w:t>interveniente in prima istanza,</w:t>
      </w:r>
    </w:p>
    <w:p w14:paraId="36D9AE6B" w14:textId="77777777" w:rsidR="007B6988" w:rsidRDefault="007B6988" w:rsidP="007B6988">
      <w:pPr>
        <w:pStyle w:val="c19centre"/>
        <w:spacing w:before="0" w:beforeAutospacing="0" w:after="240" w:afterAutospacing="0"/>
        <w:ind w:left="567"/>
        <w:jc w:val="center"/>
        <w:rPr>
          <w:rFonts w:ascii="Arial" w:hAnsi="Arial" w:cs="Arial"/>
          <w:color w:val="000000"/>
          <w:sz w:val="22"/>
          <w:szCs w:val="22"/>
        </w:rPr>
      </w:pPr>
      <w:r>
        <w:rPr>
          <w:rFonts w:ascii="Arial" w:hAnsi="Arial" w:cs="Arial"/>
          <w:color w:val="000000"/>
          <w:sz w:val="22"/>
          <w:szCs w:val="22"/>
        </w:rPr>
        <w:t>LA CORTE (Terza Sezione),</w:t>
      </w:r>
    </w:p>
    <w:p w14:paraId="580521B3"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composto da K. Lenaerts (relatore), Presidente della Camera, D. Šváby, R. Silva de Lapuerta, E. Juhász e T. von Danwitz, Giudici,</w:t>
      </w:r>
    </w:p>
    <w:p w14:paraId="57EAC045"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Avvocato generale: Y. Bot,</w:t>
      </w:r>
    </w:p>
    <w:p w14:paraId="63DEF4A6"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Registrar: L. Hewlett, amministratore principale,</w:t>
      </w:r>
    </w:p>
    <w:p w14:paraId="7B5C7F7C"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vista la procedura scritta e in seguito all'udienza del 4 maggio 2011,</w:t>
      </w:r>
    </w:p>
    <w:p w14:paraId="2693A991"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avendo deciso, dopo aver ascoltato l'avvocato generale, di procedere alla sentenza senza conclusioni,</w:t>
      </w:r>
    </w:p>
    <w:p w14:paraId="09DCDA59"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dà quanto segue</w:t>
      </w:r>
    </w:p>
    <w:p w14:paraId="78B1446C" w14:textId="77777777" w:rsidR="007B6988" w:rsidRDefault="007B6988" w:rsidP="007B6988">
      <w:pPr>
        <w:pStyle w:val="c75debutdesmotifs"/>
        <w:spacing w:before="480" w:beforeAutospacing="0" w:after="480" w:afterAutospacing="0"/>
        <w:ind w:left="567"/>
        <w:jc w:val="center"/>
        <w:rPr>
          <w:rFonts w:ascii="Arial" w:hAnsi="Arial" w:cs="Arial"/>
          <w:b/>
          <w:bCs/>
          <w:color w:val="000000"/>
          <w:sz w:val="22"/>
          <w:szCs w:val="22"/>
        </w:rPr>
      </w:pPr>
      <w:r>
        <w:rPr>
          <w:rFonts w:ascii="Arial" w:hAnsi="Arial" w:cs="Arial"/>
          <w:b/>
          <w:bCs/>
          <w:color w:val="000000"/>
          <w:sz w:val="22"/>
          <w:szCs w:val="22"/>
        </w:rPr>
        <w:t>Giudizio</w:t>
      </w:r>
    </w:p>
    <w:p w14:paraId="439AD70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0" w:name="point1"/>
      <w:r>
        <w:rPr>
          <w:rFonts w:ascii="Arial" w:hAnsi="Arial" w:cs="Arial"/>
          <w:color w:val="000000"/>
          <w:sz w:val="22"/>
          <w:szCs w:val="22"/>
        </w:rPr>
        <w:t>1</w:t>
      </w:r>
      <w:r>
        <w:rPr>
          <w:rStyle w:val="apple-converted-space"/>
          <w:rFonts w:ascii="Arial" w:hAnsi="Arial" w:cs="Arial"/>
          <w:color w:val="000000"/>
          <w:sz w:val="22"/>
          <w:szCs w:val="22"/>
        </w:rPr>
        <w:t> </w:t>
      </w:r>
      <w:bookmarkEnd w:id="0"/>
      <w:r>
        <w:rPr>
          <w:rFonts w:ascii="Arial" w:hAnsi="Arial" w:cs="Arial"/>
          <w:color w:val="000000"/>
          <w:sz w:val="22"/>
          <w:szCs w:val="22"/>
        </w:rPr>
        <w:t>Con la sua impugnazione, Mediaset SpA («Mediaset») chiede di annullare la sentenza del Tribunale dell'Unione europea del 15 giugno 2010 nella causa T</w:t>
      </w:r>
      <w:r>
        <w:rPr>
          <w:rFonts w:ascii="Cambria Math" w:hAnsi="Cambria Math" w:cs="Cambria Math"/>
          <w:color w:val="000000"/>
          <w:sz w:val="22"/>
          <w:szCs w:val="22"/>
        </w:rPr>
        <w:t>‐</w:t>
      </w:r>
      <w:r>
        <w:rPr>
          <w:rFonts w:ascii="Arial" w:hAnsi="Arial" w:cs="Arial"/>
          <w:color w:val="000000"/>
          <w:sz w:val="22"/>
          <w:szCs w:val="22"/>
        </w:rPr>
        <w:t>177/07</w:t>
      </w:r>
      <w:r>
        <w:rPr>
          <w:rStyle w:val="apple-converted-space"/>
          <w:rFonts w:ascii="Arial" w:hAnsi="Arial" w:cs="Arial"/>
          <w:color w:val="000000"/>
          <w:sz w:val="22"/>
          <w:szCs w:val="22"/>
        </w:rPr>
        <w:t> </w:t>
      </w:r>
      <w:r>
        <w:rPr>
          <w:rFonts w:ascii="Arial" w:hAnsi="Arial" w:cs="Arial"/>
          <w:i/>
          <w:iCs/>
          <w:color w:val="000000"/>
          <w:sz w:val="22"/>
          <w:szCs w:val="22"/>
        </w:rPr>
        <w:t>Mediaset</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[2010] Racc. II</w:t>
      </w:r>
      <w:r>
        <w:rPr>
          <w:rFonts w:ascii="Cambria Math" w:hAnsi="Cambria Math" w:cs="Cambria Math"/>
          <w:color w:val="000000"/>
          <w:sz w:val="22"/>
          <w:szCs w:val="22"/>
        </w:rPr>
        <w:t>‐</w:t>
      </w:r>
      <w:r>
        <w:rPr>
          <w:rFonts w:ascii="Arial" w:hAnsi="Arial" w:cs="Arial"/>
          <w:color w:val="000000"/>
          <w:sz w:val="22"/>
          <w:szCs w:val="22"/>
        </w:rPr>
        <w:t>0000 («la sentenza impugnata»), in cui il Tribunale ha respinto la domanda di annullamento della decisione della Commissione, del 24 gennaio 2007, relativa all'</w:t>
      </w:r>
    </w:p>
    <w:p w14:paraId="2636E6E7" w14:textId="77777777" w:rsidR="007B6988" w:rsidRDefault="007B6988" w:rsidP="007B6988">
      <w:pPr>
        <w:pStyle w:val="c04titre1"/>
        <w:spacing w:before="480" w:beforeAutospacing="0" w:after="240" w:afterAutospacing="0"/>
        <w:ind w:left="567"/>
        <w:jc w:val="both"/>
        <w:rPr>
          <w:rFonts w:ascii="Arial" w:hAnsi="Arial" w:cs="Arial"/>
          <w:b/>
          <w:bCs/>
          <w:color w:val="000000"/>
          <w:sz w:val="22"/>
          <w:szCs w:val="22"/>
        </w:rPr>
      </w:pPr>
      <w:r>
        <w:rPr>
          <w:rFonts w:ascii="Arial" w:hAnsi="Arial" w:cs="Arial"/>
          <w:b/>
          <w:bCs/>
          <w:color w:val="000000"/>
          <w:sz w:val="22"/>
          <w:szCs w:val="22"/>
        </w:rPr>
        <w:t> Fatti</w:t>
      </w:r>
    </w:p>
    <w:p w14:paraId="234505D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 w:name="point2"/>
      <w:r>
        <w:rPr>
          <w:rFonts w:ascii="Arial" w:hAnsi="Arial" w:cs="Arial"/>
          <w:color w:val="000000"/>
          <w:sz w:val="22"/>
          <w:szCs w:val="22"/>
        </w:rPr>
        <w:t>2</w:t>
      </w:r>
      <w:r>
        <w:rPr>
          <w:rStyle w:val="apple-converted-space"/>
          <w:rFonts w:ascii="Arial" w:hAnsi="Arial" w:cs="Arial"/>
          <w:color w:val="000000"/>
          <w:sz w:val="22"/>
          <w:szCs w:val="22"/>
        </w:rPr>
        <w:t> </w:t>
      </w:r>
      <w:bookmarkEnd w:id="1"/>
      <w:r>
        <w:rPr>
          <w:rFonts w:ascii="Arial" w:hAnsi="Arial" w:cs="Arial"/>
          <w:color w:val="000000"/>
          <w:sz w:val="22"/>
          <w:szCs w:val="22"/>
        </w:rPr>
        <w:t>Articolo 4, paragrafo 1, della legge n. 350 relativa alle disposizioni relative alla redazione del bilancio annuale e pluriennale dello Stato [italiano] (legge finanziaria 2004) (legge n. 350 – Disposizioni per la formazione del bilancio annuale e pluriennale dello Stato (legge finanziaria 2004)) del 24 dicembre 2003 (scom supplemento ordinario al GURI n. 299 del 27 dicembre 2003) («legge finanziaria 2004) prevedeva:</w:t>
      </w:r>
    </w:p>
    <w:p w14:paraId="29FD9505"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«o l'anno 2004, ogni utente del servizio di radiodiffusione che ha adempiuto ai suoi obblighi in merito al pagamento del relativo canone di abbonamento per l'anno in corso e che acquista o affitta attrezzature per la ricezione, free-to-air e senza alcun costo per l'utente o per il fornitore di contenuti, dei segnali televisivi trasmessi utilizzando la tecnologia digitale terrestre (T-DV La sovvenzione è concessa entro il limite di spesa di 110 milioni di EUR.»</w:t>
      </w:r>
    </w:p>
    <w:p w14:paraId="004AB61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 w:name="point3"/>
      <w:r>
        <w:rPr>
          <w:rFonts w:ascii="Arial" w:hAnsi="Arial" w:cs="Arial"/>
          <w:color w:val="000000"/>
          <w:sz w:val="22"/>
          <w:szCs w:val="22"/>
        </w:rPr>
        <w:t>3</w:t>
      </w:r>
      <w:r>
        <w:rPr>
          <w:rStyle w:val="apple-converted-space"/>
          <w:rFonts w:ascii="Arial" w:hAnsi="Arial" w:cs="Arial"/>
          <w:color w:val="000000"/>
          <w:sz w:val="22"/>
          <w:szCs w:val="22"/>
        </w:rPr>
        <w:t> </w:t>
      </w:r>
      <w:bookmarkEnd w:id="2"/>
      <w:r>
        <w:rPr>
          <w:rFonts w:ascii="Arial" w:hAnsi="Arial" w:cs="Arial"/>
          <w:color w:val="000000"/>
          <w:sz w:val="22"/>
          <w:szCs w:val="22"/>
        </w:rPr>
        <w:t>Articolo 1(211) della legge n. 311 relativa alle disposizioni per la redazione del bilancio annuale e pluriennale dello Stato (legge finanziaria 2005) (legge n. 311 – Disposizioni per la formazione del bilancio annuale e pluriennale dello Stato (legge finanziaria 2005)) del 30 dicembre 2004 (sensario ordinario al GURI n. 306 del 31 dicembre 2004) («legge finanziaria del 2005) ha rifinanziato la misura in questione con lo stesso limite di spesa di 110 milioni di EUR, ma ha ridotto la sovvenzione per decoder a 70 EUR.</w:t>
      </w:r>
    </w:p>
    <w:p w14:paraId="4D38389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 w:name="point4"/>
      <w:r>
        <w:rPr>
          <w:rFonts w:ascii="Arial" w:hAnsi="Arial" w:cs="Arial"/>
          <w:color w:val="000000"/>
          <w:sz w:val="22"/>
          <w:szCs w:val="22"/>
        </w:rPr>
        <w:t>4</w:t>
      </w:r>
      <w:r>
        <w:rPr>
          <w:rStyle w:val="apple-converted-space"/>
          <w:rFonts w:ascii="Arial" w:hAnsi="Arial" w:cs="Arial"/>
          <w:color w:val="000000"/>
          <w:sz w:val="22"/>
          <w:szCs w:val="22"/>
        </w:rPr>
        <w:t> </w:t>
      </w:r>
      <w:bookmarkEnd w:id="3"/>
      <w:r>
        <w:rPr>
          <w:rFonts w:ascii="Arial" w:hAnsi="Arial" w:cs="Arial"/>
          <w:color w:val="000000"/>
          <w:sz w:val="22"/>
          <w:szCs w:val="22"/>
        </w:rPr>
        <w:t>Tale regime ha cessato di applicarsi il 1o dicembre 2005.</w:t>
      </w:r>
    </w:p>
    <w:p w14:paraId="00DFE77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 w:name="point5"/>
      <w:r>
        <w:rPr>
          <w:rFonts w:ascii="Arial" w:hAnsi="Arial" w:cs="Arial"/>
          <w:color w:val="000000"/>
          <w:sz w:val="22"/>
          <w:szCs w:val="22"/>
        </w:rPr>
        <w:t>5</w:t>
      </w:r>
      <w:r>
        <w:rPr>
          <w:rStyle w:val="apple-converted-space"/>
          <w:rFonts w:ascii="Arial" w:hAnsi="Arial" w:cs="Arial"/>
          <w:color w:val="000000"/>
          <w:sz w:val="22"/>
          <w:szCs w:val="22"/>
        </w:rPr>
        <w:t> </w:t>
      </w:r>
      <w:bookmarkEnd w:id="4"/>
      <w:r>
        <w:rPr>
          <w:rFonts w:ascii="Arial" w:hAnsi="Arial" w:cs="Arial"/>
          <w:color w:val="000000"/>
          <w:sz w:val="22"/>
          <w:szCs w:val="22"/>
        </w:rPr>
        <w:t>In Italia il primo passo nella digitalizzazione dei segnali televisivi è stata l'adozione della legge n. 66 del 20 marzo 2001 che si è trasformata in legge, con emendamenti, del decreto legge n. 5 del 23 gennaio 2001 (legge n. 66 – Conversione in legge, con modificazioni, del decreto-legge 23 gennaio 2001, n. 5) (GURI n. 70 del 24 marzo 2001, pag. 3), in base al quale la digitalizzazione doveva essere realizzata e la trasmissione in modalità analogica cessata definitivamente entro dicembre 2006. A tale riguardo, l'articolo 2a(5) di tale legge prevede quanto segue:</w:t>
      </w:r>
    </w:p>
    <w:p w14:paraId="28BF12E7" w14:textId="77777777" w:rsidR="007B6988" w:rsidRDefault="007B6988" w:rsidP="007B6988">
      <w:pPr>
        <w:pStyle w:val="c02alineaalta"/>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«Entro la fine dell'anno 2006, la tecnologia digitale è l'unico mezzo utilizzato per trasmettere programmi e servizi multimediali su frequenze terrestri.»</w:t>
      </w:r>
    </w:p>
    <w:p w14:paraId="4544DF8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 w:name="point6"/>
      <w:r>
        <w:rPr>
          <w:rFonts w:ascii="Arial" w:hAnsi="Arial" w:cs="Arial"/>
          <w:color w:val="000000"/>
          <w:sz w:val="22"/>
          <w:szCs w:val="22"/>
        </w:rPr>
        <w:t>6</w:t>
      </w:r>
      <w:r>
        <w:rPr>
          <w:rStyle w:val="apple-converted-space"/>
          <w:rFonts w:ascii="Arial" w:hAnsi="Arial" w:cs="Arial"/>
          <w:color w:val="000000"/>
          <w:sz w:val="22"/>
          <w:szCs w:val="22"/>
        </w:rPr>
        <w:t> </w:t>
      </w:r>
      <w:bookmarkEnd w:id="5"/>
      <w:r>
        <w:rPr>
          <w:rFonts w:ascii="Arial" w:hAnsi="Arial" w:cs="Arial"/>
          <w:color w:val="000000"/>
          <w:sz w:val="22"/>
          <w:szCs w:val="22"/>
        </w:rPr>
        <w:t>Il termine per la cessazione della radiodiffusione analogica è stato successivamente rinviato due volte, inizialmente fino al 2008 e poi di nuovo al 30 novembre 2012.</w:t>
      </w:r>
    </w:p>
    <w:p w14:paraId="7E3FA7C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 w:name="point7"/>
      <w:r>
        <w:rPr>
          <w:rFonts w:ascii="Arial" w:hAnsi="Arial" w:cs="Arial"/>
          <w:color w:val="000000"/>
          <w:sz w:val="22"/>
          <w:szCs w:val="22"/>
        </w:rPr>
        <w:t>7</w:t>
      </w:r>
      <w:r>
        <w:rPr>
          <w:rStyle w:val="apple-converted-space"/>
          <w:rFonts w:ascii="Arial" w:hAnsi="Arial" w:cs="Arial"/>
          <w:color w:val="000000"/>
          <w:sz w:val="22"/>
          <w:szCs w:val="22"/>
        </w:rPr>
        <w:t> </w:t>
      </w:r>
      <w:bookmarkEnd w:id="6"/>
      <w:r>
        <w:rPr>
          <w:rFonts w:ascii="Arial" w:hAnsi="Arial" w:cs="Arial"/>
          <w:color w:val="000000"/>
          <w:sz w:val="22"/>
          <w:szCs w:val="22"/>
        </w:rPr>
        <w:t>L'11 maggio 2004, il Centro Europa 7 Srl ha presentato una denuncia alla Commissione delle Comunità europee in merito alla sovvenzione concessa dalla Repubblica italiana ai sensi dell'articolo 4, paragrafo 1, della legge finanziaria del 2004 per l'acquisto di taluni decoder digitali terrestri. Con lettera del 10 febbraio 2005, Centro Europa 7 srl ha fornito alla Commissione ulteriori informazioni e ha sostenuto che tale Stato membro aveva previsto il rifinanziamento di tale sovvenzione all'articolo 1, paragrafo 11), della legge finanziaria del 2005.</w:t>
      </w:r>
    </w:p>
    <w:p w14:paraId="6B135C5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 w:name="point8"/>
      <w:r>
        <w:rPr>
          <w:rFonts w:ascii="Arial" w:hAnsi="Arial" w:cs="Arial"/>
          <w:color w:val="000000"/>
          <w:sz w:val="22"/>
          <w:szCs w:val="22"/>
        </w:rPr>
        <w:t>8</w:t>
      </w:r>
      <w:r>
        <w:rPr>
          <w:rStyle w:val="apple-converted-space"/>
          <w:rFonts w:ascii="Arial" w:hAnsi="Arial" w:cs="Arial"/>
          <w:color w:val="000000"/>
          <w:sz w:val="22"/>
          <w:szCs w:val="22"/>
        </w:rPr>
        <w:t> </w:t>
      </w:r>
      <w:bookmarkEnd w:id="7"/>
      <w:r>
        <w:rPr>
          <w:rFonts w:ascii="Arial" w:hAnsi="Arial" w:cs="Arial"/>
          <w:color w:val="000000"/>
          <w:sz w:val="22"/>
          <w:szCs w:val="22"/>
        </w:rPr>
        <w:t>Il 3 maggio 2005, anche Sky Italia Srl («Sky Italia) ha presentato una denuncia in merito alle stesse disposizioni della legge finanziaria del 2004 e della legge finanziaria del 2005 (prese insieme, «la misura in questione»).</w:t>
      </w:r>
    </w:p>
    <w:p w14:paraId="60CA95E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 w:name="point9"/>
      <w:r>
        <w:rPr>
          <w:rFonts w:ascii="Arial" w:hAnsi="Arial" w:cs="Arial"/>
          <w:color w:val="000000"/>
          <w:sz w:val="22"/>
          <w:szCs w:val="22"/>
        </w:rPr>
        <w:t>9</w:t>
      </w:r>
      <w:r>
        <w:rPr>
          <w:rStyle w:val="apple-converted-space"/>
          <w:rFonts w:ascii="Arial" w:hAnsi="Arial" w:cs="Arial"/>
          <w:color w:val="000000"/>
          <w:sz w:val="22"/>
          <w:szCs w:val="22"/>
        </w:rPr>
        <w:t> </w:t>
      </w:r>
      <w:bookmarkEnd w:id="8"/>
      <w:r>
        <w:rPr>
          <w:rFonts w:ascii="Arial" w:hAnsi="Arial" w:cs="Arial"/>
          <w:color w:val="000000"/>
          <w:sz w:val="22"/>
          <w:szCs w:val="22"/>
        </w:rPr>
        <w:t>Con lettera del 21 dicembre 2005, la Commissione ha informato la Repubblica italiana della sua decisione di avviare il procedimento di indagine formale di cui all'articolo 88, paragrafo 2, CE (GU 2006 C 118, pag. 10) nei confronti della misura in questione. In tale decisione, la Commissione ha invitato le parti interessate a presentare le loro osservazioni su tale misura.</w:t>
      </w:r>
    </w:p>
    <w:p w14:paraId="56E4A09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 w:name="point10"/>
      <w:r>
        <w:rPr>
          <w:rFonts w:ascii="Arial" w:hAnsi="Arial" w:cs="Arial"/>
          <w:color w:val="000000"/>
          <w:sz w:val="22"/>
          <w:szCs w:val="22"/>
        </w:rPr>
        <w:t>10</w:t>
      </w:r>
      <w:r>
        <w:rPr>
          <w:rStyle w:val="apple-converted-space"/>
          <w:rFonts w:ascii="Arial" w:hAnsi="Arial" w:cs="Arial"/>
          <w:color w:val="000000"/>
          <w:sz w:val="22"/>
          <w:szCs w:val="22"/>
        </w:rPr>
        <w:t> </w:t>
      </w:r>
      <w:bookmarkEnd w:id="9"/>
      <w:r>
        <w:rPr>
          <w:rFonts w:ascii="Arial" w:hAnsi="Arial" w:cs="Arial"/>
          <w:color w:val="000000"/>
          <w:sz w:val="22"/>
          <w:szCs w:val="22"/>
        </w:rPr>
        <w:t>Il 24 gennaio 2007 la Commissione ha adottato la decisione impugnata.</w:t>
      </w:r>
    </w:p>
    <w:p w14:paraId="1BF1C87A"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 w:name="point11"/>
      <w:r>
        <w:rPr>
          <w:rFonts w:ascii="Arial" w:hAnsi="Arial" w:cs="Arial"/>
          <w:color w:val="000000"/>
          <w:sz w:val="22"/>
          <w:szCs w:val="22"/>
        </w:rPr>
        <w:t>11</w:t>
      </w:r>
      <w:r>
        <w:rPr>
          <w:rStyle w:val="apple-converted-space"/>
          <w:rFonts w:ascii="Arial" w:hAnsi="Arial" w:cs="Arial"/>
          <w:color w:val="000000"/>
          <w:sz w:val="22"/>
          <w:szCs w:val="22"/>
        </w:rPr>
        <w:t> </w:t>
      </w:r>
      <w:bookmarkEnd w:id="10"/>
      <w:r>
        <w:rPr>
          <w:rFonts w:ascii="Arial" w:hAnsi="Arial" w:cs="Arial"/>
          <w:color w:val="000000"/>
          <w:sz w:val="22"/>
          <w:szCs w:val="22"/>
        </w:rPr>
        <w:t>In tale decisione, in primo luogo, la Commissione ha affermato che, nella misura in cui prevedeva la concessione da parte della Repubblica italiana di una sovvenzione per l'acquisto, nel 2004 e nel 2005, di taluni decoder digitali terrestri, la misura in questione costituiva un aiuto di Stato, ai sensi dell'articolo 87, paragrafo 1, CE, alle emittenti digitali terrestri che offrono servizi di pay-TV</w:t>
      </w:r>
    </w:p>
    <w:p w14:paraId="25A4C15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 w:name="point12"/>
      <w:r>
        <w:rPr>
          <w:rFonts w:ascii="Arial" w:hAnsi="Arial" w:cs="Arial"/>
          <w:color w:val="000000"/>
          <w:sz w:val="22"/>
          <w:szCs w:val="22"/>
        </w:rPr>
        <w:t>12</w:t>
      </w:r>
      <w:r>
        <w:rPr>
          <w:rStyle w:val="apple-converted-space"/>
          <w:rFonts w:ascii="Arial" w:hAnsi="Arial" w:cs="Arial"/>
          <w:color w:val="000000"/>
          <w:sz w:val="22"/>
          <w:szCs w:val="22"/>
        </w:rPr>
        <w:t> </w:t>
      </w:r>
      <w:bookmarkEnd w:id="11"/>
      <w:r>
        <w:rPr>
          <w:rFonts w:ascii="Arial" w:hAnsi="Arial" w:cs="Arial"/>
          <w:color w:val="000000"/>
          <w:sz w:val="22"/>
          <w:szCs w:val="22"/>
        </w:rPr>
        <w:t>In secondo luogo, la Commissione ha constatato che nessuna delle deroghe di cui all'articolo 87, paragrafo 3, del trattato CE era applicabile alla misura in questione. In particolare, la Commissione ha deciso che la deroga di cui all'articolo 87, paragrafo 3, lettera c), CE non poteva essere applicata in quanto la misura di cui trattasi era considerata un aiuto alle emittenti digitali terrestri e agli operatori via cavo della televisione a pagamento (l'aiuto in questione). Anche se il passaggio dalla radiodiffusione analogica a quella televisiva digitale era un obiettivo di interesse comune, la misura in questione non era proporzionata al perseguimento di tale obiettivo e non era in grado di prevenire inutili distorsioni della concorrenza. Tale risultato si basava principalmente sul fatto che la misura in questione non era tecnologicamente neutrale, poiché non si applicava ai decodificatori satellitari digitali. D'altra parte, la Commissione ha espresso il parere che, nella misura in cui la misura in questione potesse essere considerata un aiuto ai produttori di decodificatori, potrebbe essere coperta dalla deroga di cui all'articolo 87, paragrafo 3, lettera c), CE, poiché i) promuoveva lo sviluppo tecnologico sotto forma di decodificatori ad alte prestazioni con norme disponibili per tutti i produttori; ii della digitalizzazione, anche la più tecnologicamente neutrale.</w:t>
      </w:r>
    </w:p>
    <w:p w14:paraId="3C9927D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 w:name="point13"/>
      <w:r>
        <w:rPr>
          <w:rFonts w:ascii="Arial" w:hAnsi="Arial" w:cs="Arial"/>
          <w:color w:val="000000"/>
          <w:sz w:val="22"/>
          <w:szCs w:val="22"/>
        </w:rPr>
        <w:t>13</w:t>
      </w:r>
      <w:r>
        <w:rPr>
          <w:rStyle w:val="apple-converted-space"/>
          <w:rFonts w:ascii="Arial" w:hAnsi="Arial" w:cs="Arial"/>
          <w:color w:val="000000"/>
          <w:sz w:val="22"/>
          <w:szCs w:val="22"/>
        </w:rPr>
        <w:t> </w:t>
      </w:r>
      <w:bookmarkEnd w:id="12"/>
      <w:r>
        <w:rPr>
          <w:rFonts w:ascii="Arial" w:hAnsi="Arial" w:cs="Arial"/>
          <w:color w:val="000000"/>
          <w:sz w:val="22"/>
          <w:szCs w:val="22"/>
        </w:rPr>
        <w:t>Di conseguenza, la Commissione ha ordinato il recupero dell'aiuto pagato a norma della misura in questione, che era stato dichiarato incompatibile con il mercato comune e concesso illegalmente. A tal fine, la Commissione ha offerto orientamenti sulle modalità di calcolo dell'importo dell'aiuto.</w:t>
      </w:r>
    </w:p>
    <w:p w14:paraId="5A99BCF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3" w:name="point14"/>
      <w:r>
        <w:rPr>
          <w:rFonts w:ascii="Arial" w:hAnsi="Arial" w:cs="Arial"/>
          <w:color w:val="000000"/>
          <w:sz w:val="22"/>
          <w:szCs w:val="22"/>
        </w:rPr>
        <w:t>14</w:t>
      </w:r>
      <w:r>
        <w:rPr>
          <w:rStyle w:val="apple-converted-space"/>
          <w:rFonts w:ascii="Arial" w:hAnsi="Arial" w:cs="Arial"/>
          <w:color w:val="000000"/>
          <w:sz w:val="22"/>
          <w:szCs w:val="22"/>
        </w:rPr>
        <w:t> </w:t>
      </w:r>
      <w:bookmarkEnd w:id="13"/>
      <w:r>
        <w:rPr>
          <w:rFonts w:ascii="Arial" w:hAnsi="Arial" w:cs="Arial"/>
          <w:color w:val="000000"/>
          <w:sz w:val="22"/>
          <w:szCs w:val="22"/>
        </w:rPr>
        <w:t>Con la decisione C(2006) 6630 def. del 24 gennaio 2007 («decisione relativa al 2006»), la Commissione ha dichiarato compatibile con il mercato comune l'aiuto attuato dalla Repubblica italiana ai sensi della legge n. 266 relativa alle disposizioni per la redazione del bilancio annuale e pluriennale dello Stato [italiano] (legge finanziaria 2006) (legge n. 266 – Disposizioni per la formazione del bilancio annuale e pluriennale dello Stato (legge finanziaria 2006)) del 23 dicembre 2005 (sensario ordinario al GURI n. 302 del 29 dicembre 2005) per l'acquisto, nel 2006, di decoder digitali con un'interfaccia di programma di applicazione aperta. Contrariamente alla decisione impugnata, i sussidi di cui trattasi nella decisione relativa al 2006 sono stati ritenuti "tecnologicamente neutrali" in quanto potevano essere concessi per i decodificatori di tutte le piattaforme digitali (terrestri, via cavo e satellitari), a condizione che fossero interattivi e interoperabili, vale a dire a condizione che fossero decodificatori "aperti" anziché decodifica</w:t>
      </w:r>
    </w:p>
    <w:p w14:paraId="56F33E79" w14:textId="77777777" w:rsidR="007B6988" w:rsidRDefault="007B6988" w:rsidP="007B6988">
      <w:pPr>
        <w:pStyle w:val="c04titre1"/>
        <w:spacing w:before="480" w:beforeAutospacing="0" w:after="240" w:afterAutospacing="0"/>
        <w:ind w:left="567"/>
        <w:jc w:val="both"/>
        <w:rPr>
          <w:rFonts w:ascii="Arial" w:hAnsi="Arial" w:cs="Arial"/>
          <w:b/>
          <w:bCs/>
          <w:color w:val="000000"/>
          <w:sz w:val="22"/>
          <w:szCs w:val="22"/>
        </w:rPr>
      </w:pPr>
      <w:r>
        <w:rPr>
          <w:rFonts w:ascii="Arial" w:hAnsi="Arial" w:cs="Arial"/>
          <w:b/>
          <w:bCs/>
          <w:color w:val="000000"/>
          <w:sz w:val="22"/>
          <w:szCs w:val="22"/>
        </w:rPr>
        <w:t> Procedura dinanzi al Tribunale e sentenza impugnata</w:t>
      </w:r>
    </w:p>
    <w:p w14:paraId="4CB093A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4" w:name="point15"/>
      <w:r>
        <w:rPr>
          <w:rFonts w:ascii="Arial" w:hAnsi="Arial" w:cs="Arial"/>
          <w:color w:val="000000"/>
          <w:sz w:val="22"/>
          <w:szCs w:val="22"/>
        </w:rPr>
        <w:t>15</w:t>
      </w:r>
      <w:r>
        <w:rPr>
          <w:rStyle w:val="apple-converted-space"/>
          <w:rFonts w:ascii="Arial" w:hAnsi="Arial" w:cs="Arial"/>
          <w:color w:val="000000"/>
          <w:sz w:val="22"/>
          <w:szCs w:val="22"/>
        </w:rPr>
        <w:t> </w:t>
      </w:r>
      <w:bookmarkEnd w:id="14"/>
      <w:r>
        <w:rPr>
          <w:rFonts w:ascii="Arial" w:hAnsi="Arial" w:cs="Arial"/>
          <w:color w:val="000000"/>
          <w:sz w:val="22"/>
          <w:szCs w:val="22"/>
        </w:rPr>
        <w:t>Con atto introduttivo depositato presso la cancellogia del Tribunale il 23 maggio 2007, Mediaset, un'emittente digitale terrestre di programmi, ha proposto un ricorso diretto all'annullamento della decisione impugnata.</w:t>
      </w:r>
    </w:p>
    <w:p w14:paraId="2D1C620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5" w:name="point16"/>
      <w:r>
        <w:rPr>
          <w:rFonts w:ascii="Arial" w:hAnsi="Arial" w:cs="Arial"/>
          <w:color w:val="000000"/>
          <w:sz w:val="22"/>
          <w:szCs w:val="22"/>
        </w:rPr>
        <w:t>16</w:t>
      </w:r>
      <w:r>
        <w:rPr>
          <w:rStyle w:val="apple-converted-space"/>
          <w:rFonts w:ascii="Arial" w:hAnsi="Arial" w:cs="Arial"/>
          <w:color w:val="000000"/>
          <w:sz w:val="22"/>
          <w:szCs w:val="22"/>
        </w:rPr>
        <w:t> </w:t>
      </w:r>
      <w:bookmarkEnd w:id="15"/>
      <w:r>
        <w:rPr>
          <w:rFonts w:ascii="Arial" w:hAnsi="Arial" w:cs="Arial"/>
          <w:color w:val="000000"/>
          <w:sz w:val="22"/>
          <w:szCs w:val="22"/>
        </w:rPr>
        <w:t>Con documento depositato presso la cancellaria del Tribunale il 5 settembre 2007, Sky Italia ha chiesto il permesso di intervenire a sostegno della Commissione. Con ordinanza del 10 gennaio 2008, il presidente della seconda sezione del Tribunale ha accolto tale domanda di permesso di intervenire.</w:t>
      </w:r>
    </w:p>
    <w:p w14:paraId="34E8840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6" w:name="point17"/>
      <w:r>
        <w:rPr>
          <w:rFonts w:ascii="Arial" w:hAnsi="Arial" w:cs="Arial"/>
          <w:color w:val="000000"/>
          <w:sz w:val="22"/>
          <w:szCs w:val="22"/>
        </w:rPr>
        <w:t>17</w:t>
      </w:r>
      <w:r>
        <w:rPr>
          <w:rStyle w:val="apple-converted-space"/>
          <w:rFonts w:ascii="Arial" w:hAnsi="Arial" w:cs="Arial"/>
          <w:color w:val="000000"/>
          <w:sz w:val="22"/>
          <w:szCs w:val="22"/>
        </w:rPr>
        <w:t> </w:t>
      </w:r>
      <w:bookmarkEnd w:id="16"/>
      <w:r>
        <w:rPr>
          <w:rFonts w:ascii="Arial" w:hAnsi="Arial" w:cs="Arial"/>
          <w:color w:val="000000"/>
          <w:sz w:val="22"/>
          <w:szCs w:val="22"/>
        </w:rPr>
        <w:t>Con la sentenza impugnata, il Tribunale ha respinto i cinque motivi avanzati da Mediaset.</w:t>
      </w:r>
    </w:p>
    <w:p w14:paraId="571DB4D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7" w:name="point18"/>
      <w:r>
        <w:rPr>
          <w:rFonts w:ascii="Arial" w:hAnsi="Arial" w:cs="Arial"/>
          <w:color w:val="000000"/>
          <w:sz w:val="22"/>
          <w:szCs w:val="22"/>
        </w:rPr>
        <w:t>18</w:t>
      </w:r>
      <w:r>
        <w:rPr>
          <w:rStyle w:val="apple-converted-space"/>
          <w:rFonts w:ascii="Arial" w:hAnsi="Arial" w:cs="Arial"/>
          <w:color w:val="000000"/>
          <w:sz w:val="22"/>
          <w:szCs w:val="22"/>
        </w:rPr>
        <w:t> </w:t>
      </w:r>
      <w:bookmarkEnd w:id="17"/>
      <w:r>
        <w:rPr>
          <w:rFonts w:ascii="Arial" w:hAnsi="Arial" w:cs="Arial"/>
          <w:color w:val="000000"/>
          <w:sz w:val="22"/>
          <w:szCs w:val="22"/>
        </w:rPr>
        <w:t>Come questione preliminare, ai punti da 45 a 47 della sentenza impugnata, il Tribunale ha respinto come irricevibile il quinto motivo, sostenendo un manifesto errore di valutazione per quanto riguarda la determinazione dell'ambito di applicazione dell'articolo 4, paragrafo 1, della legge finanziaria del 2004, in quanto tale motivo era stato sollevato per la prima volta nella risposta e in udienza. Pertanto, il Tribunale ha rilevato che, ai sensi dell'articolo 44, paragrafo 1, c), in combinato disposto con l'articolo 48, paragrafo 2, del suo regolamento di procedura, secondo il quale una domanda deve indicare l'oggetto del procedimento e una sintesi dei motivi su cui si basa la domanda, i nuovi motivi non possono essere introdotti nel corso del procedimento a meno che non siano basati su questioni di</w:t>
      </w:r>
    </w:p>
    <w:p w14:paraId="29AF941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8" w:name="point19"/>
      <w:r>
        <w:rPr>
          <w:rFonts w:ascii="Arial" w:hAnsi="Arial" w:cs="Arial"/>
          <w:color w:val="000000"/>
          <w:sz w:val="22"/>
          <w:szCs w:val="22"/>
        </w:rPr>
        <w:t>19</w:t>
      </w:r>
      <w:r>
        <w:rPr>
          <w:rStyle w:val="apple-converted-space"/>
          <w:rFonts w:ascii="Arial" w:hAnsi="Arial" w:cs="Arial"/>
          <w:color w:val="000000"/>
          <w:sz w:val="22"/>
          <w:szCs w:val="22"/>
        </w:rPr>
        <w:t> </w:t>
      </w:r>
      <w:bookmarkEnd w:id="18"/>
      <w:r>
        <w:rPr>
          <w:rFonts w:ascii="Arial" w:hAnsi="Arial" w:cs="Arial"/>
          <w:color w:val="000000"/>
          <w:sz w:val="22"/>
          <w:szCs w:val="22"/>
        </w:rPr>
        <w:t>Il Tribunale ha poi esaminato il primo motivo, sostenendo una violazione dell'articolo 87, paragrafo 1, CE. Nel corso dell'esame della seconda parte di tale motivo, relativa all'assenza di qualsiasi beneficio economico conferito a Mediaset, il Tribunale ha dichiarato, al punto 60 della sentenza impugnata, che la misura in questione non poteva avvantaggiare un consumatore che avesse deciso di acquistare o noleggiare apparecchiature esclusivamente per la ricezione di segnali televisivi digitali via satellite. Di conseguenza, tale misura non soddisfaceva il requisito di neutralità tecnologica imposto dalla Commissione per le misure di aiuto relative al mercato della televisione digitale.</w:t>
      </w:r>
    </w:p>
    <w:p w14:paraId="4FD0229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9" w:name="point20"/>
      <w:r>
        <w:rPr>
          <w:rFonts w:ascii="Arial" w:hAnsi="Arial" w:cs="Arial"/>
          <w:color w:val="000000"/>
          <w:sz w:val="22"/>
          <w:szCs w:val="22"/>
        </w:rPr>
        <w:t>20</w:t>
      </w:r>
      <w:r>
        <w:rPr>
          <w:rStyle w:val="apple-converted-space"/>
          <w:rFonts w:ascii="Arial" w:hAnsi="Arial" w:cs="Arial"/>
          <w:color w:val="000000"/>
          <w:sz w:val="22"/>
          <w:szCs w:val="22"/>
        </w:rPr>
        <w:t> </w:t>
      </w:r>
      <w:bookmarkEnd w:id="19"/>
      <w:r>
        <w:rPr>
          <w:rFonts w:ascii="Arial" w:hAnsi="Arial" w:cs="Arial"/>
          <w:color w:val="000000"/>
          <w:sz w:val="22"/>
          <w:szCs w:val="22"/>
        </w:rPr>
        <w:t>Il Tribunale ha osservato, al punto 61 della sentenza impugnata, che la questione se le emittenti avrebbero necessariamente finanziato l’acquisizione di decoder digitali in assenza della misura in questione, su cui Mediaset ha basato diverse delle sue argomentazioni, era irrilevante per quanto riguarda la valutazione della categorizzazione di tale misura come aiuto di Stato. Al punto 62 della sentenza impugnata, il Tribunale ha dichiarato che ciò che era importante a tale riguardo era se la sovvenzione dei decodificatori digitali creasse un vantaggio per le emittenti terrestri come Mediaset. Nei considerando da 82 a 95 della decisione impugnata, la Commissione ha indicato in dettaglio tutte le ragioni per cui ha constatato che la misura in questione costituiva un vantaggio economico a favore delle emittenti terrestri come Mediaset. Il Tribunale ha approvato tale ragionamento e ha rilevato, in particolare, che la Commissione ha corretto ad osservare che la creazione di un pubblico è una parte cruciale dell'attività delle emittenti di programmi televisivi e che la misura in questione, tra l'altro, ha permesso a tali emittenti di consolidare la loro posizione esistente sul mercato – rispetto alla posizione di nuovi concorrenti – in termini di immagine del marchio e fidel</w:t>
      </w:r>
    </w:p>
    <w:p w14:paraId="7ECC19E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0" w:name="point21"/>
      <w:r>
        <w:rPr>
          <w:rFonts w:ascii="Arial" w:hAnsi="Arial" w:cs="Arial"/>
          <w:color w:val="000000"/>
          <w:sz w:val="22"/>
          <w:szCs w:val="22"/>
        </w:rPr>
        <w:t>21</w:t>
      </w:r>
      <w:r>
        <w:rPr>
          <w:rStyle w:val="apple-converted-space"/>
          <w:rFonts w:ascii="Arial" w:hAnsi="Arial" w:cs="Arial"/>
          <w:color w:val="000000"/>
          <w:sz w:val="22"/>
          <w:szCs w:val="22"/>
        </w:rPr>
        <w:t> </w:t>
      </w:r>
      <w:bookmarkEnd w:id="20"/>
      <w:r>
        <w:rPr>
          <w:rFonts w:ascii="Arial" w:hAnsi="Arial" w:cs="Arial"/>
          <w:color w:val="000000"/>
          <w:sz w:val="22"/>
          <w:szCs w:val="22"/>
        </w:rPr>
        <w:t>La prima parte del primo motivo, relativa alla nozione di beneficiario indiretto, esaminata ai punti da 74 a 79 della sentenza impugnata, è stata respinta. Basandosi sul punto 108 della sentenza del 4 marzo 2009 nella causa T-424/05</w:t>
      </w:r>
      <w:r>
        <w:rPr>
          <w:rStyle w:val="apple-converted-space"/>
          <w:rFonts w:ascii="Arial" w:hAnsi="Arial" w:cs="Arial"/>
          <w:color w:val="000000"/>
          <w:sz w:val="22"/>
          <w:szCs w:val="22"/>
        </w:rPr>
        <w:t> </w:t>
      </w:r>
      <w:r>
        <w:rPr>
          <w:rFonts w:ascii="Arial" w:hAnsi="Arial" w:cs="Arial"/>
          <w:i/>
          <w:iCs/>
          <w:color w:val="000000"/>
          <w:sz w:val="22"/>
          <w:szCs w:val="22"/>
        </w:rPr>
        <w:t>Italia</w:t>
      </w:r>
      <w:r>
        <w:rPr>
          <w:rFonts w:ascii="Arial" w:hAnsi="Arial" w:cs="Arial"/>
          <w:color w:val="000000"/>
          <w:sz w:val="22"/>
          <w:szCs w:val="22"/>
        </w:rPr>
        <w:t>/</w:t>
      </w:r>
      <w:r>
        <w:rPr>
          <w:rFonts w:ascii="Arial" w:hAnsi="Arial" w:cs="Arial"/>
          <w:i/>
          <w:iCs/>
          <w:color w:val="000000"/>
          <w:sz w:val="22"/>
          <w:szCs w:val="22"/>
        </w:rPr>
        <w:t>Commissione</w:t>
      </w:r>
      <w:r>
        <w:rPr>
          <w:rFonts w:ascii="Arial" w:hAnsi="Arial" w:cs="Arial"/>
          <w:color w:val="000000"/>
          <w:sz w:val="22"/>
          <w:szCs w:val="22"/>
        </w:rPr>
        <w:t>, il Tribunale ha rilevato che un vantaggio concesso direttamente a talune persone fisiche o giuridiche che non sono necessariamente imprese può costituire un vantaggio indiretto, e quindi un aiuto di Stato, per altre persone fisiche o giuridiche che sono imprese. In effetti, in tal caso, l'articolo 87, paragrafo 2, lettera a), CE, in base al quale gli aiuti aventi carattere sociale, concessi ai singoli consumatori, sono compatibili con il mercato comune a condizione che siano concessi senza discriminazioni relative all'origine dei prodotti in questione, sarebbero superflui. Infine, gli argomenti di Mediaset relativi all’incapacità della Commissione di giustificare la sua decisione di restringere il concetto di beneficiari indiretti alle emittenti digitali terrestri e agli operatori via cavo che offrono servizi di pay-TV, escludendo così le emittenti digitali terrestri e gli operatori via cavo che non offrono tali servizi, nonché i produttori di decodificatori, sono stati respinti come inefficaci poiché</w:t>
      </w:r>
    </w:p>
    <w:p w14:paraId="770B8AD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1" w:name="point22"/>
      <w:r>
        <w:rPr>
          <w:rFonts w:ascii="Arial" w:hAnsi="Arial" w:cs="Arial"/>
          <w:color w:val="000000"/>
          <w:sz w:val="22"/>
          <w:szCs w:val="22"/>
        </w:rPr>
        <w:t>22</w:t>
      </w:r>
      <w:r>
        <w:rPr>
          <w:rStyle w:val="apple-converted-space"/>
          <w:rFonts w:ascii="Arial" w:hAnsi="Arial" w:cs="Arial"/>
          <w:color w:val="000000"/>
          <w:sz w:val="22"/>
          <w:szCs w:val="22"/>
        </w:rPr>
        <w:t> </w:t>
      </w:r>
      <w:bookmarkEnd w:id="21"/>
      <w:r>
        <w:rPr>
          <w:rFonts w:ascii="Arial" w:hAnsi="Arial" w:cs="Arial"/>
          <w:color w:val="000000"/>
          <w:sz w:val="22"/>
          <w:szCs w:val="22"/>
        </w:rPr>
        <w:t>Per quanto riguarda la terza parte del primo motivo, in quanto riguarda l'assenza di selettività del provvedimento motivo, il Tribunale ha dichiarato, ai punti da 82 a 85 della sentenza impugnata, che era inammissibile in quanto gli argomenti sollevati al riguardo non soddisfacevano i requisiti di chiarezza e precisione di cui all'articolo 44, paragrafo 1, lettera c), del suo regolamento di procedura Il Tribunale ha osservato che, criticando la Commissione per aver confuso i concetti di selettività e discriminazione, Mediaset non ha spiegato in che modo il fatto che l'aiuto sia stato applicato in modo discriminatorio, nel senso che beneficiava solo di alcune categorie di imprese, non consentiva di dedurre che fosse selettivo ai fini dell'articolo 87, paragrafo 1, CE.</w:t>
      </w:r>
    </w:p>
    <w:p w14:paraId="10DA29C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2" w:name="point23"/>
      <w:r>
        <w:rPr>
          <w:rFonts w:ascii="Arial" w:hAnsi="Arial" w:cs="Arial"/>
          <w:color w:val="000000"/>
          <w:sz w:val="22"/>
          <w:szCs w:val="22"/>
        </w:rPr>
        <w:t>23</w:t>
      </w:r>
      <w:r>
        <w:rPr>
          <w:rStyle w:val="apple-converted-space"/>
          <w:rFonts w:ascii="Arial" w:hAnsi="Arial" w:cs="Arial"/>
          <w:color w:val="000000"/>
          <w:sz w:val="22"/>
          <w:szCs w:val="22"/>
        </w:rPr>
        <w:t> </w:t>
      </w:r>
      <w:bookmarkEnd w:id="22"/>
      <w:r>
        <w:rPr>
          <w:rFonts w:ascii="Arial" w:hAnsi="Arial" w:cs="Arial"/>
          <w:color w:val="000000"/>
          <w:sz w:val="22"/>
          <w:szCs w:val="22"/>
        </w:rPr>
        <w:t>Infine, ai punti da 95 a 111 della sentenza impugnata, il Tribunale ha respinto integralmente gli argomenti avanzati nella parte quarta del primo motivo, relativi all'assenza di distorsioni della concorrenza. Il Tribunale ha osservato, in sostanza, che la misura in questione distorce la concorrenza perché mette a vantaggio le emittenti che utilizzano una tecnologia piuttosto che un'altra, violando così il principio di neutralità tecnologica. Gli argomenti di Mediaset che cercavano di dimostrare che questo vantaggio sarebbe stato compensato da altre circostanze erano irrilevanti perché non avrebbero influenzato l'esistenza di questa distorsione, anche supponendo che fossero stati stabiliti. Per quanto riguarda l'argomento basato sulla decisione C(2007) 4286 def della Commissione, del 25 settembre 2007, relativa all'aiuto (N 103/2007) per l'acquisizione di decoder digitali e per l'adattamento delle antenne a Soria, il Tribunale ha dichiarato che, contrariamente alla misura di cui trattasi, la misura in esame nella decisione Soria era in grado di avvantaggiare Il Tribunale ha ritenuto che l’argomentazione di Mediaset basata sulla certezza del diritto fosse manifestamente infondata perché la Commissione aveva espresso i suoi dubbi sul fatto che non vi fosse effettivamente alcuna violazione del principio di neutralità tecnologica da parte della misura in questione non appena è stata avviata la procedura di indagine formale ai sensi dell’articolo 88, paragrafo 2, CE.</w:t>
      </w:r>
    </w:p>
    <w:p w14:paraId="1C80AE4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3" w:name="point24"/>
      <w:r>
        <w:rPr>
          <w:rFonts w:ascii="Arial" w:hAnsi="Arial" w:cs="Arial"/>
          <w:color w:val="000000"/>
          <w:sz w:val="22"/>
          <w:szCs w:val="22"/>
        </w:rPr>
        <w:t>24</w:t>
      </w:r>
      <w:r>
        <w:rPr>
          <w:rStyle w:val="apple-converted-space"/>
          <w:rFonts w:ascii="Arial" w:hAnsi="Arial" w:cs="Arial"/>
          <w:color w:val="000000"/>
          <w:sz w:val="22"/>
          <w:szCs w:val="22"/>
        </w:rPr>
        <w:t> </w:t>
      </w:r>
      <w:bookmarkEnd w:id="23"/>
      <w:r>
        <w:rPr>
          <w:rFonts w:ascii="Arial" w:hAnsi="Arial" w:cs="Arial"/>
          <w:color w:val="000000"/>
          <w:sz w:val="22"/>
          <w:szCs w:val="22"/>
        </w:rPr>
        <w:t>Il Tribunale ha iniziato l’esame del secondo motivo, sostenendo un manifesto errore di valutazione e un errore di diritto nel valutare la compatibilità del provvedimento in questione con il mercato comune ai sensi dell’articolo 87, paragrafo 3, lettera c), CE, respingendo, ai punti da 114 a 117 della sentenza impugnata, l’argomentazione della Commissione secondo cui alcune delle affermazioni di Mediaset erano in fallimenti. Il Tribunale ha ritenuto che la Commissione fosse giusta a ritenere che la natura obbligatoria della data prevista per la digitalizzazione in Italia fosse tale da risolvere il problema del coordinamento tra gli operatori sul mercato della televisione terrestre e, di conseguenza, la sovvenzione per l'acquisto di decoder digitali non fosse necessaria. Per quanto riguarda gli argomenti secondo cui la misura in questione compensava i costi per i consumatori e promuoveva l'innovazione e che la digitalizzazione comportava l'esistenza di esternalità, il Tribunale ha osservato che tali circostanze non potevano, tuttavia, giustificare l'esclusione della piattaforma satellitare dal campo di applicazione della misura in questione, che rappresenta una discriminazione tecnologica ingiustificata.</w:t>
      </w:r>
    </w:p>
    <w:p w14:paraId="0FA99EA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4" w:name="point25"/>
      <w:r>
        <w:rPr>
          <w:rFonts w:ascii="Arial" w:hAnsi="Arial" w:cs="Arial"/>
          <w:color w:val="000000"/>
          <w:sz w:val="22"/>
          <w:szCs w:val="22"/>
        </w:rPr>
        <w:t>25</w:t>
      </w:r>
      <w:r>
        <w:rPr>
          <w:rStyle w:val="apple-converted-space"/>
          <w:rFonts w:ascii="Arial" w:hAnsi="Arial" w:cs="Arial"/>
          <w:color w:val="000000"/>
          <w:sz w:val="22"/>
          <w:szCs w:val="22"/>
        </w:rPr>
        <w:t> </w:t>
      </w:r>
      <w:bookmarkEnd w:id="24"/>
      <w:r>
        <w:rPr>
          <w:rFonts w:ascii="Arial" w:hAnsi="Arial" w:cs="Arial"/>
          <w:color w:val="000000"/>
          <w:sz w:val="22"/>
          <w:szCs w:val="22"/>
        </w:rPr>
        <w:t>Per quanto riguarda la seconda parte del secondo motivo, sostenendo un errore nel concludere che la misura in questione non era né uno strumento necessario né un strumento proporzionato per affrontare i fallimenti del mercato, il Tribunale ha dichiarato, ai punti da 133 a 135 della sentenza impugnata, che le argomentazioni di Mediaset secondo cui la misura in questione era necessaria e proporzionata a tali fini non potevano, anche era incompatibile con il mercato comune.</w:t>
      </w:r>
    </w:p>
    <w:p w14:paraId="79371DA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5" w:name="point26"/>
      <w:r>
        <w:rPr>
          <w:rFonts w:ascii="Arial" w:hAnsi="Arial" w:cs="Arial"/>
          <w:color w:val="000000"/>
          <w:sz w:val="22"/>
          <w:szCs w:val="22"/>
        </w:rPr>
        <w:t>26</w:t>
      </w:r>
      <w:r>
        <w:rPr>
          <w:rStyle w:val="apple-converted-space"/>
          <w:rFonts w:ascii="Arial" w:hAnsi="Arial" w:cs="Arial"/>
          <w:color w:val="000000"/>
          <w:sz w:val="22"/>
          <w:szCs w:val="22"/>
        </w:rPr>
        <w:t> </w:t>
      </w:r>
      <w:bookmarkEnd w:id="25"/>
      <w:r>
        <w:rPr>
          <w:rFonts w:ascii="Arial" w:hAnsi="Arial" w:cs="Arial"/>
          <w:color w:val="000000"/>
          <w:sz w:val="22"/>
          <w:szCs w:val="22"/>
        </w:rPr>
        <w:t>In risposta al terzo motivo, relativo alla violazione dell'articolo 253 CE, il Tribunale ha iniziato richiamando, ai punti da 140 a 147 della sentenza impugnata, i requisiti della sua giurisprudenza in merito alla motivazione e ha rilevato in particolare che, per quanto riguarda l'esistenza di una distorsione della concorrenza nel mercato comune, la Commissione non è tenuta a effettuare un'analisi economica della situazione reale sui Stati. Nel caso di aiuti concessi illegalmente, la Commissione non è tenuta a dimostrare l'effetto effettivo che tale aiuto ha avuto sulla concorrenza e sugli scambi tra Stati membri perché, se la posizione fosse diversa, tale requisito darebbe in ultima analisi agli Stati membri che concedono aiuti illeciti un vantaggio rispetto a quelli che notificano l'aiuto nella fase di pianificazione. In particolare, la Commissione deve solo dimostrare che l'aiuto in questione è tale da incidere sugli scambi tra Stati membri e distorce o minaccia di falsare la concorrenza. Non deve definire il mercato in questione.</w:t>
      </w:r>
    </w:p>
    <w:p w14:paraId="5278FB4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6" w:name="point27"/>
      <w:r>
        <w:rPr>
          <w:rFonts w:ascii="Arial" w:hAnsi="Arial" w:cs="Arial"/>
          <w:color w:val="000000"/>
          <w:sz w:val="22"/>
          <w:szCs w:val="22"/>
        </w:rPr>
        <w:t>27</w:t>
      </w:r>
      <w:r>
        <w:rPr>
          <w:rStyle w:val="apple-converted-space"/>
          <w:rFonts w:ascii="Arial" w:hAnsi="Arial" w:cs="Arial"/>
          <w:color w:val="000000"/>
          <w:sz w:val="22"/>
          <w:szCs w:val="22"/>
        </w:rPr>
        <w:t> </w:t>
      </w:r>
      <w:bookmarkEnd w:id="26"/>
      <w:r>
        <w:rPr>
          <w:rFonts w:ascii="Arial" w:hAnsi="Arial" w:cs="Arial"/>
          <w:color w:val="000000"/>
          <w:sz w:val="22"/>
          <w:szCs w:val="22"/>
        </w:rPr>
        <w:t>Per quanto riguarda l'argomento secondo cui la decisione impugnata contiene una motivazione inadeguata per dimostrare che vi è una distorsione o una minaccia di distorsione della concorrenza, il Tribunale ha sottolineato, al punto 148 della sentenza impugnata, che, ai considerando da 102 a 114 della decisione impugnata, la Commissione ha esaminato l'effetto della misura controversa sulla concorrenza e sugli scambi tra gli Stati membri. In particolare, il Tribunale ha osservato, al punto 156 di tale sentenza, che risulta dai considerando 113 e 114 della decisione impugnata che la Commissione ha rilevato che i mercati dei servizi di radiodiffusione e di rete sono aperti alla concorrenza internazionale e che, mediante il favore selettivo di talune emittenti o operatori di rete, la concorrenza è falsata a scapito degli operatori economici che potrebbero provenire Pertanto, il Tribunale ha constatato, ai punti 155 e 157 della sentenza impugnata, che la Commissione aveva fornito una motivazione adeguata nella decisione impugnata per quanto riguarda gli effetti della misura controversa sulla concorrenza e per quanto riguarda la questione se potesse incidere sugli scambi tra Stati membri.</w:t>
      </w:r>
    </w:p>
    <w:p w14:paraId="064D102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7" w:name="point28"/>
      <w:r>
        <w:rPr>
          <w:rFonts w:ascii="Arial" w:hAnsi="Arial" w:cs="Arial"/>
          <w:color w:val="000000"/>
          <w:sz w:val="22"/>
          <w:szCs w:val="22"/>
        </w:rPr>
        <w:t>28</w:t>
      </w:r>
      <w:r>
        <w:rPr>
          <w:rStyle w:val="apple-converted-space"/>
          <w:rFonts w:ascii="Arial" w:hAnsi="Arial" w:cs="Arial"/>
          <w:color w:val="000000"/>
          <w:sz w:val="22"/>
          <w:szCs w:val="22"/>
        </w:rPr>
        <w:t> </w:t>
      </w:r>
      <w:bookmarkEnd w:id="27"/>
      <w:r>
        <w:rPr>
          <w:rFonts w:ascii="Arial" w:hAnsi="Arial" w:cs="Arial"/>
          <w:color w:val="000000"/>
          <w:sz w:val="22"/>
          <w:szCs w:val="22"/>
        </w:rPr>
        <w:t>Il Tribunale ha inoltre rilevato, al punto 158 della sentenza impugnata, che la Commissione aveva esaminato, al considerando 80 della decisione impugnata, se la misura controversa comportasse l'uso di risorse statali e, ai considerando da 81 a 101 di tale decisione, se la misura controversa conferisse un vantaggio economico selettivo ai beneficiari. Pertanto, la Commissione ha presentato in modo appropriato, nella decisione impugnata, i motivi per cui la misura controversa doveva essere classificata come aiuto di Stato. Il Tribunale ha inoltre sottolineato, al punto 159 di tale sentenza, che risulta dalle condizioni esplicite della decisione impugnata – in particolare dai considerando 104, 135 e 140 – che l’incompatibilità della misura controversa era strettamente legata alla violazione del principio di neutralità tecnologica. Infine, per quanto riguarda la posizione dei produttori di decodificatori, il Tribunale ha dichiarato, al punto 160 di tale sentenza, che la Commissione aveva motivato la decisione impugnata alla norma giuridica richiesta osservando, in particolare al considerando 168 della decisione impugnata, che la misura controversa era, in ogni caso, compatibile con il mercato comune per quanto riguarda tali produttori, dato che tutti potevano trarne vantaggio</w:t>
      </w:r>
    </w:p>
    <w:p w14:paraId="5570E8C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8" w:name="point29"/>
      <w:r>
        <w:rPr>
          <w:rFonts w:ascii="Arial" w:hAnsi="Arial" w:cs="Arial"/>
          <w:color w:val="000000"/>
          <w:sz w:val="22"/>
          <w:szCs w:val="22"/>
        </w:rPr>
        <w:t>29</w:t>
      </w:r>
      <w:r>
        <w:rPr>
          <w:rStyle w:val="apple-converted-space"/>
          <w:rFonts w:ascii="Arial" w:hAnsi="Arial" w:cs="Arial"/>
          <w:color w:val="000000"/>
          <w:sz w:val="22"/>
          <w:szCs w:val="22"/>
        </w:rPr>
        <w:t> </w:t>
      </w:r>
      <w:bookmarkEnd w:id="28"/>
      <w:r>
        <w:rPr>
          <w:rFonts w:ascii="Arial" w:hAnsi="Arial" w:cs="Arial"/>
          <w:color w:val="000000"/>
          <w:sz w:val="22"/>
          <w:szCs w:val="22"/>
        </w:rPr>
        <w:t>Il Tribunale ha inoltre respinto il quarto motivo, in cui si applica la violazione dell'articolo 14 del regolamento (CE) n. 659/1999 del Consiglio, del 22 marzo 1999, che stabilisce le modalità di applicazione dell'articolo [88] CE (GU L 83, pag. 1) e la violazione del principio della tutela degli attese legittime e del principio di certezza del diritto. Ha ricordato, ai punti 169 e 170 della sentenza impugnata, che la rimozione dell'aiuto illecito mediante recupero è la conseguenza logica della constatazione che esso è illecito e che, ai sensi dell'articolo 14, paragrafo 1, del regolamento n. 659/1999, qualora siano adottate decisioni negative in caso di aiuto illecito, la Commissione deve decidere che lo Stato membro interessato deve adottare tutte le misure</w:t>
      </w:r>
    </w:p>
    <w:p w14:paraId="679F00D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29" w:name="point30"/>
      <w:r>
        <w:rPr>
          <w:rFonts w:ascii="Arial" w:hAnsi="Arial" w:cs="Arial"/>
          <w:color w:val="000000"/>
          <w:sz w:val="22"/>
          <w:szCs w:val="22"/>
        </w:rPr>
        <w:t>30</w:t>
      </w:r>
      <w:r>
        <w:rPr>
          <w:rStyle w:val="apple-converted-space"/>
          <w:rFonts w:ascii="Arial" w:hAnsi="Arial" w:cs="Arial"/>
          <w:color w:val="000000"/>
          <w:sz w:val="22"/>
          <w:szCs w:val="22"/>
        </w:rPr>
        <w:t> </w:t>
      </w:r>
      <w:bookmarkEnd w:id="29"/>
      <w:r>
        <w:rPr>
          <w:rFonts w:ascii="Arial" w:hAnsi="Arial" w:cs="Arial"/>
          <w:color w:val="000000"/>
          <w:sz w:val="22"/>
          <w:szCs w:val="22"/>
        </w:rPr>
        <w:t>Il Tribunale ha osservato, al punto 173 della sentenza impugnata, che, tenuto conto della natura obbligatoria del riesame degli aiuti di Stato da parte della Commissione ai sensi dell'articolo 88 CE, le imprese a cui è stato concesso un aiuto non possono, in linea di principio, avere un legittimo aspettativa che l'aiuto sia lecito a meno che non sia stato concesso nel rispetto della procedura. Il Tribunale ha espresso l'opinione, ai punti 176 e 177 di tale sentenza, che le due circostanze eccezionali invocate da Mediaset non erano tali da dare luogo a un legittimo aspettativa da parte sua nel caso di specie. In primo luogo, il riferimento di cui al punto 3.4.2 della comunicazione della Commissione al Consiglio, al Parlamento europeo, al Comitato economico e sociale europeo e al Comitato delle regioni del 30 luglio 2004 sull’interoperabilità dei servizi di televisione digitale interattiva (COM(2004) 541 def.) non costituiva una garanzia da parte della Commissione per quanto riguarda la legittimità di una misura come quella in questione. In secondo luogo, anche l'argomento secondo cui la forma indiretta dell'aiuto in questione avrebbe potuto dare origine a un'aspettativa legittima doveva essere respinta perché, come ogni operatore economico diligente, Mediaset avrebbe dovuto sapere che la natura indiretta di tale aiuto non avrebbe avuto alcuna incidenza sulla sua classificazione come aiuto o sul suo recupero.</w:t>
      </w:r>
    </w:p>
    <w:p w14:paraId="59F1380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0" w:name="point31"/>
      <w:r>
        <w:rPr>
          <w:rFonts w:ascii="Arial" w:hAnsi="Arial" w:cs="Arial"/>
          <w:color w:val="000000"/>
          <w:sz w:val="22"/>
          <w:szCs w:val="22"/>
        </w:rPr>
        <w:t>31</w:t>
      </w:r>
      <w:r>
        <w:rPr>
          <w:rStyle w:val="apple-converted-space"/>
          <w:rFonts w:ascii="Arial" w:hAnsi="Arial" w:cs="Arial"/>
          <w:color w:val="000000"/>
          <w:sz w:val="22"/>
          <w:szCs w:val="22"/>
        </w:rPr>
        <w:t> </w:t>
      </w:r>
      <w:bookmarkEnd w:id="30"/>
      <w:r>
        <w:rPr>
          <w:rFonts w:ascii="Arial" w:hAnsi="Arial" w:cs="Arial"/>
          <w:color w:val="000000"/>
          <w:sz w:val="22"/>
          <w:szCs w:val="22"/>
        </w:rPr>
        <w:t>Per quanto riguarda la presunta violazione del principio di certezza del diritto, il Tribunale ha osservato, al punto 181 della sentenza impugnata, che, secondo una giurisprudenza costante, nessuna disposizione impone alla Commissione, al momento di ordinare il recupero dell'aiuto dichiarato incompatibile con il mercato comune, di fissare l'importo esatto dell'aiuto da recuperare. È sufficiente che la decisione della Commissione includa informazioni che consentano al destinatario della decisione di elaborare tale importo da solo, senza ulteriori difficoltà. Inoltre, il Tribunale ha osservato, ai punti 182 e 184 della sentenza impugnata, che, sempre secondo una giurisprudenza consolidata, in assenza di disposizioni pertinenti, il recupero degli aiuti dichiarati incompatibili con il mercato comune deve essere effettuato secondo le norme e le procedure previste dal diritto nazionale e di conseguenza è il giudice nazionale, se un caso è sottoposto, pronunciarsi sull'importo degli aiuti di Stato che la per una decisione pregiudiziale.</w:t>
      </w:r>
    </w:p>
    <w:p w14:paraId="15FFA6FC" w14:textId="77777777" w:rsidR="007B6988" w:rsidRDefault="007B6988" w:rsidP="007B6988">
      <w:pPr>
        <w:pStyle w:val="c04titre1"/>
        <w:spacing w:before="480" w:beforeAutospacing="0" w:after="240" w:afterAutospacing="0"/>
        <w:ind w:left="567"/>
        <w:jc w:val="both"/>
        <w:rPr>
          <w:rFonts w:ascii="Arial" w:hAnsi="Arial" w:cs="Arial"/>
          <w:b/>
          <w:bCs/>
          <w:color w:val="000000"/>
          <w:sz w:val="22"/>
          <w:szCs w:val="22"/>
        </w:rPr>
      </w:pPr>
      <w:r>
        <w:rPr>
          <w:rFonts w:ascii="Arial" w:hAnsi="Arial" w:cs="Arial"/>
          <w:b/>
          <w:bCs/>
          <w:color w:val="000000"/>
          <w:sz w:val="22"/>
          <w:szCs w:val="22"/>
        </w:rPr>
        <w:t> Forme di ordinanza richieste dalle parti in appello</w:t>
      </w:r>
    </w:p>
    <w:p w14:paraId="0BB5D2B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1" w:name="point32"/>
      <w:r>
        <w:rPr>
          <w:rFonts w:ascii="Arial" w:hAnsi="Arial" w:cs="Arial"/>
          <w:color w:val="000000"/>
          <w:sz w:val="22"/>
          <w:szCs w:val="22"/>
        </w:rPr>
        <w:t>32</w:t>
      </w:r>
      <w:r>
        <w:rPr>
          <w:rStyle w:val="apple-converted-space"/>
          <w:rFonts w:ascii="Arial" w:hAnsi="Arial" w:cs="Arial"/>
          <w:color w:val="000000"/>
          <w:sz w:val="22"/>
          <w:szCs w:val="22"/>
        </w:rPr>
        <w:t> </w:t>
      </w:r>
      <w:bookmarkEnd w:id="31"/>
      <w:r>
        <w:rPr>
          <w:rFonts w:ascii="Arial" w:hAnsi="Arial" w:cs="Arial"/>
          <w:color w:val="000000"/>
          <w:sz w:val="22"/>
          <w:szCs w:val="22"/>
        </w:rPr>
        <w:t>Mediaset sostiene che la Corte dovrebbe:</w:t>
      </w:r>
    </w:p>
    <w:p w14:paraId="5962512F"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annullare la sentenza impugnata nella sua interezza;</w:t>
      </w:r>
    </w:p>
    <w:p w14:paraId="2BD15E94"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accettare in primo grado la domanda di annullamento della decisione impugnata;</w:t>
      </w:r>
    </w:p>
    <w:p w14:paraId="1A2619D4"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in alternativa, rinviare il caso al Tribunale; e</w:t>
      </w:r>
    </w:p>
    <w:p w14:paraId="42B9871F"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condannare la Commissione e l’interveniente a pagare le spese del procedimento in primo grado e in appello.</w:t>
      </w:r>
    </w:p>
    <w:p w14:paraId="6281977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2" w:name="point33"/>
      <w:r>
        <w:rPr>
          <w:rFonts w:ascii="Arial" w:hAnsi="Arial" w:cs="Arial"/>
          <w:color w:val="000000"/>
          <w:sz w:val="22"/>
          <w:szCs w:val="22"/>
        </w:rPr>
        <w:t>33</w:t>
      </w:r>
      <w:r>
        <w:rPr>
          <w:rStyle w:val="apple-converted-space"/>
          <w:rFonts w:ascii="Arial" w:hAnsi="Arial" w:cs="Arial"/>
          <w:color w:val="000000"/>
          <w:sz w:val="22"/>
          <w:szCs w:val="22"/>
        </w:rPr>
        <w:t> </w:t>
      </w:r>
      <w:bookmarkEnd w:id="32"/>
      <w:r>
        <w:rPr>
          <w:rFonts w:ascii="Arial" w:hAnsi="Arial" w:cs="Arial"/>
          <w:color w:val="000000"/>
          <w:sz w:val="22"/>
          <w:szCs w:val="22"/>
        </w:rPr>
        <w:t>La Commissione sostiene che la Corte dovrebbe:</w:t>
      </w:r>
    </w:p>
    <w:p w14:paraId="209B8219"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respingere il ricorso come parzialmente inammissibile e parzialmente infondato; e</w:t>
      </w:r>
    </w:p>
    <w:p w14:paraId="08DACDD4"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ordina a Mediaset di pagare i costi.</w:t>
      </w:r>
    </w:p>
    <w:p w14:paraId="4D17023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3" w:name="point34"/>
      <w:r>
        <w:rPr>
          <w:rFonts w:ascii="Arial" w:hAnsi="Arial" w:cs="Arial"/>
          <w:color w:val="000000"/>
          <w:sz w:val="22"/>
          <w:szCs w:val="22"/>
        </w:rPr>
        <w:t>34</w:t>
      </w:r>
      <w:r>
        <w:rPr>
          <w:rStyle w:val="apple-converted-space"/>
          <w:rFonts w:ascii="Arial" w:hAnsi="Arial" w:cs="Arial"/>
          <w:color w:val="000000"/>
          <w:sz w:val="22"/>
          <w:szCs w:val="22"/>
        </w:rPr>
        <w:t> </w:t>
      </w:r>
      <w:bookmarkEnd w:id="33"/>
      <w:r>
        <w:rPr>
          <w:rFonts w:ascii="Arial" w:hAnsi="Arial" w:cs="Arial"/>
          <w:color w:val="000000"/>
          <w:sz w:val="22"/>
          <w:szCs w:val="22"/>
        </w:rPr>
        <w:t>Sky Italia chiede alla Corte:</w:t>
      </w:r>
    </w:p>
    <w:p w14:paraId="06BC439C"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respingere il ricorso;</w:t>
      </w:r>
    </w:p>
    <w:p w14:paraId="7F7A6C6B"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sostenere la sentenza impugnata; e</w:t>
      </w:r>
    </w:p>
    <w:p w14:paraId="169E4048" w14:textId="77777777" w:rsidR="007B6988" w:rsidRDefault="007B6988" w:rsidP="007B6988">
      <w:pPr>
        <w:pStyle w:val="c03tiretlong"/>
        <w:spacing w:after="240" w:afterAutospacing="0"/>
        <w:ind w:left="1134" w:hanging="567"/>
        <w:jc w:val="both"/>
        <w:rPr>
          <w:rFonts w:ascii="Arial" w:hAnsi="Arial" w:cs="Arial"/>
          <w:color w:val="000000"/>
          <w:sz w:val="22"/>
          <w:szCs w:val="22"/>
        </w:rPr>
      </w:pPr>
      <w:r>
        <w:rPr>
          <w:rFonts w:ascii="Arial" w:hAnsi="Arial" w:cs="Arial"/>
          <w:color w:val="000000"/>
          <w:sz w:val="22"/>
          <w:szCs w:val="22"/>
        </w:rPr>
        <w:t>– ordinare a Mediaset di pagare i costi sostenuti da Sky Italia.</w:t>
      </w:r>
    </w:p>
    <w:p w14:paraId="5014C3ED" w14:textId="77777777" w:rsidR="007B6988" w:rsidRDefault="007B6988" w:rsidP="007B6988">
      <w:pPr>
        <w:pStyle w:val="c04titre1"/>
        <w:spacing w:before="480" w:beforeAutospacing="0" w:after="240" w:afterAutospacing="0"/>
        <w:ind w:left="567"/>
        <w:jc w:val="both"/>
        <w:rPr>
          <w:rFonts w:ascii="Arial" w:hAnsi="Arial" w:cs="Arial"/>
          <w:b/>
          <w:bCs/>
          <w:color w:val="000000"/>
          <w:sz w:val="22"/>
          <w:szCs w:val="22"/>
        </w:rPr>
      </w:pPr>
      <w:r>
        <w:rPr>
          <w:rFonts w:ascii="Arial" w:hAnsi="Arial" w:cs="Arial"/>
          <w:b/>
          <w:bCs/>
          <w:color w:val="000000"/>
          <w:sz w:val="22"/>
          <w:szCs w:val="22"/>
        </w:rPr>
        <w:t> L'appello</w:t>
      </w:r>
    </w:p>
    <w:p w14:paraId="47AD36A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4" w:name="point35"/>
      <w:r>
        <w:rPr>
          <w:rFonts w:ascii="Arial" w:hAnsi="Arial" w:cs="Arial"/>
          <w:color w:val="000000"/>
          <w:sz w:val="22"/>
          <w:szCs w:val="22"/>
        </w:rPr>
        <w:t>35</w:t>
      </w:r>
      <w:r>
        <w:rPr>
          <w:rStyle w:val="apple-converted-space"/>
          <w:rFonts w:ascii="Arial" w:hAnsi="Arial" w:cs="Arial"/>
          <w:color w:val="000000"/>
          <w:sz w:val="22"/>
          <w:szCs w:val="22"/>
        </w:rPr>
        <w:t> </w:t>
      </w:r>
      <w:bookmarkEnd w:id="34"/>
      <w:r>
        <w:rPr>
          <w:rFonts w:ascii="Arial" w:hAnsi="Arial" w:cs="Arial"/>
          <w:color w:val="000000"/>
          <w:sz w:val="22"/>
          <w:szCs w:val="22"/>
        </w:rPr>
        <w:t>A sostegno del suo ricorso, Mediaset si basa su otto motivi di appello, di cui i primi due riguardano il rigetto, per motivi di inammissibilità, di alcuni dei suoi motivi in primo grado e gli altri sei il rigetto, nel merito, degli altri motivi invocati dinanzi al Tribunale.</w:t>
      </w:r>
    </w:p>
    <w:p w14:paraId="5B16C9E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5" w:name="point36"/>
      <w:r>
        <w:rPr>
          <w:rFonts w:ascii="Arial" w:hAnsi="Arial" w:cs="Arial"/>
          <w:color w:val="000000"/>
          <w:sz w:val="22"/>
          <w:szCs w:val="22"/>
        </w:rPr>
        <w:t>36</w:t>
      </w:r>
      <w:r>
        <w:rPr>
          <w:rStyle w:val="apple-converted-space"/>
          <w:rFonts w:ascii="Arial" w:hAnsi="Arial" w:cs="Arial"/>
          <w:color w:val="000000"/>
          <w:sz w:val="22"/>
          <w:szCs w:val="22"/>
        </w:rPr>
        <w:t> </w:t>
      </w:r>
      <w:bookmarkEnd w:id="35"/>
      <w:r>
        <w:rPr>
          <w:rFonts w:ascii="Arial" w:hAnsi="Arial" w:cs="Arial"/>
          <w:color w:val="000000"/>
          <w:sz w:val="22"/>
          <w:szCs w:val="22"/>
        </w:rPr>
        <w:t>Secondo una giurisprudenza consolidata, l'articolo 87, paragrafo 1, CE vieta gli aiuti di Stato «chefavoriscono talune imprese o la produzione di taluni beni», vale a dire gli aiuti selettivi (cfr. causa C</w:t>
      </w:r>
      <w:r>
        <w:rPr>
          <w:rFonts w:ascii="Cambria Math" w:hAnsi="Cambria Math" w:cs="Cambria Math"/>
          <w:color w:val="000000"/>
          <w:sz w:val="22"/>
          <w:szCs w:val="22"/>
        </w:rPr>
        <w:t>‐</w:t>
      </w:r>
      <w:r>
        <w:rPr>
          <w:rFonts w:ascii="Arial" w:hAnsi="Arial" w:cs="Arial"/>
          <w:color w:val="000000"/>
          <w:sz w:val="22"/>
          <w:szCs w:val="22"/>
        </w:rPr>
        <w:t>66/02</w:t>
      </w:r>
      <w:r>
        <w:rPr>
          <w:rStyle w:val="apple-converted-space"/>
          <w:rFonts w:ascii="Arial" w:hAnsi="Arial" w:cs="Arial"/>
          <w:color w:val="000000"/>
          <w:sz w:val="22"/>
          <w:szCs w:val="22"/>
        </w:rPr>
        <w:t> </w:t>
      </w:r>
      <w:r>
        <w:rPr>
          <w:rFonts w:ascii="Arial" w:hAnsi="Arial" w:cs="Arial"/>
          <w:i/>
          <w:iCs/>
          <w:color w:val="000000"/>
          <w:sz w:val="22"/>
          <w:szCs w:val="22"/>
        </w:rPr>
        <w:t>Italia</w:t>
      </w:r>
      <w:r>
        <w:rPr>
          <w:rFonts w:ascii="Arial" w:hAnsi="Arial" w:cs="Arial"/>
          <w:color w:val="000000"/>
          <w:sz w:val="22"/>
          <w:szCs w:val="22"/>
        </w:rPr>
        <w:t>/</w:t>
      </w:r>
      <w:r>
        <w:rPr>
          <w:rFonts w:ascii="Arial" w:hAnsi="Arial" w:cs="Arial"/>
          <w:i/>
          <w:iCs/>
          <w:color w:val="000000"/>
          <w:sz w:val="22"/>
          <w:szCs w:val="22"/>
        </w:rPr>
        <w:t>Commissione</w:t>
      </w:r>
      <w:r>
        <w:rPr>
          <w:rFonts w:ascii="Arial" w:hAnsi="Arial" w:cs="Arial"/>
          <w:color w:val="000000"/>
          <w:sz w:val="22"/>
          <w:szCs w:val="22"/>
        </w:rPr>
        <w:t>, Racc. [2005] pag. I-10901, punto 94, e causa C</w:t>
      </w:r>
      <w:r>
        <w:rPr>
          <w:rFonts w:ascii="Cambria Math" w:hAnsi="Cambria Math" w:cs="Cambria Math"/>
          <w:color w:val="000000"/>
          <w:sz w:val="22"/>
          <w:szCs w:val="22"/>
        </w:rPr>
        <w:t>‐</w:t>
      </w:r>
      <w:r>
        <w:rPr>
          <w:rFonts w:ascii="Arial" w:hAnsi="Arial" w:cs="Arial"/>
          <w:color w:val="000000"/>
          <w:sz w:val="22"/>
          <w:szCs w:val="22"/>
        </w:rPr>
        <w:t>88/03,Per quanto riguarda la valutazione della condizione di selettività, l'articolo 87, paragrafo 1, CE prevede di valutare se, nell'ambito di un particolare regime giuridico, una misura nazionale sia tale da favorire «talune imprese o la produzione di taluni beni» rispetto ad altre che, alla luce dell'obiettivo perseguito da tale regime, si trovano in una situazione di fatto e giuridica comparabile (</w:t>
      </w:r>
      <w:r>
        <w:rPr>
          <w:rStyle w:val="apple-converted-space"/>
          <w:rFonts w:ascii="Arial" w:hAnsi="Arial" w:cs="Arial"/>
          <w:color w:val="000000"/>
          <w:sz w:val="22"/>
          <w:szCs w:val="22"/>
        </w:rPr>
        <w:t> </w:t>
      </w:r>
      <w:r>
        <w:rPr>
          <w:rFonts w:ascii="Arial" w:hAnsi="Arial" w:cs="Arial"/>
          <w:color w:val="000000"/>
          <w:sz w:val="22"/>
          <w:szCs w:val="22"/>
        </w:rPr>
        <w:t>Per stabilire se una misura sia selettiva, è quindi opportuno esaminare se, nel contesto di un particolare sistema giuridico, tale misura costituisca un vantaggio per talune imprese rispetto ad altre che si trovano in una situazione di fatto e giuridica comparabile (</w:t>
      </w:r>
      <w:r>
        <w:rPr>
          <w:rFonts w:ascii="Arial" w:hAnsi="Arial" w:cs="Arial"/>
          <w:i/>
          <w:iCs/>
          <w:color w:val="000000"/>
          <w:sz w:val="22"/>
          <w:szCs w:val="22"/>
        </w:rPr>
        <w:t>Portogallo</w:t>
      </w:r>
      <w:r>
        <w:rPr>
          <w:rFonts w:ascii="Arial" w:hAnsi="Arial" w:cs="Arial"/>
          <w:color w:val="000000"/>
          <w:sz w:val="22"/>
          <w:szCs w:val="22"/>
        </w:rPr>
        <w:t>/</w:t>
      </w:r>
      <w:r>
        <w:rPr>
          <w:rFonts w:ascii="Arial" w:hAnsi="Arial" w:cs="Arial"/>
          <w:i/>
          <w:iCs/>
          <w:color w:val="000000"/>
          <w:sz w:val="22"/>
          <w:szCs w:val="22"/>
        </w:rPr>
        <w:t>Commissione</w:t>
      </w:r>
      <w:r>
        <w:rPr>
          <w:rFonts w:ascii="Arial" w:hAnsi="Arial" w:cs="Arial"/>
          <w:color w:val="000000"/>
          <w:sz w:val="22"/>
          <w:szCs w:val="22"/>
        </w:rPr>
        <w:t>, punto 56).</w:t>
      </w:r>
    </w:p>
    <w:p w14:paraId="144BD0C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6" w:name="point37"/>
      <w:r>
        <w:rPr>
          <w:rFonts w:ascii="Arial" w:hAnsi="Arial" w:cs="Arial"/>
          <w:color w:val="000000"/>
          <w:sz w:val="22"/>
          <w:szCs w:val="22"/>
        </w:rPr>
        <w:t>37</w:t>
      </w:r>
      <w:r>
        <w:rPr>
          <w:rStyle w:val="apple-converted-space"/>
          <w:rFonts w:ascii="Arial" w:hAnsi="Arial" w:cs="Arial"/>
          <w:color w:val="000000"/>
          <w:sz w:val="22"/>
          <w:szCs w:val="22"/>
        </w:rPr>
        <w:t> </w:t>
      </w:r>
      <w:bookmarkEnd w:id="36"/>
      <w:r>
        <w:rPr>
          <w:rFonts w:ascii="Arial" w:hAnsi="Arial" w:cs="Arial"/>
          <w:color w:val="000000"/>
          <w:sz w:val="22"/>
          <w:szCs w:val="22"/>
        </w:rPr>
        <w:t>La constatazione secondo cui la misura in questione non è tecnologicamente neutrale, in quanto i decodificatori satellitari digitali sono esclusi dal beneficio della sovvenzione concessa ai consumatori da tale misura, è uno dei fattori principali nell'analisi intrapresa dalla Commissione nella decisione impugnata. La Commissione ritiene, in sostanza, che il fatto che la misura non sia tecnologicamente neutrale le consenta di trarre la conclusione che la misura era una concorrenza selettiva e distorta ai sensi dell'articolo 87, paragrafo 1, CE e che la distorsione della concorrenza era tale che l'aiuto in questione non poteva essere dichiarato compatibile con il mercato comune a norma dell'articolo 87, paragrafo 3, lettera c), Poiché il Tribunale ha approvato tale analisi nella sentenza impugnata, l'obiettivo di molti dei motivi di impugnazione è dimostrare che tale analisi era illegale.</w:t>
      </w:r>
    </w:p>
    <w:p w14:paraId="3B95F8F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7" w:name="point38"/>
      <w:r>
        <w:rPr>
          <w:rFonts w:ascii="Arial" w:hAnsi="Arial" w:cs="Arial"/>
          <w:color w:val="000000"/>
          <w:sz w:val="22"/>
          <w:szCs w:val="22"/>
        </w:rPr>
        <w:t>38</w:t>
      </w:r>
      <w:r>
        <w:rPr>
          <w:rStyle w:val="apple-converted-space"/>
          <w:rFonts w:ascii="Arial" w:hAnsi="Arial" w:cs="Arial"/>
          <w:color w:val="000000"/>
          <w:sz w:val="22"/>
          <w:szCs w:val="22"/>
        </w:rPr>
        <w:t> </w:t>
      </w:r>
      <w:bookmarkEnd w:id="37"/>
      <w:r>
        <w:rPr>
          <w:rFonts w:ascii="Arial" w:hAnsi="Arial" w:cs="Arial"/>
          <w:color w:val="000000"/>
          <w:sz w:val="22"/>
          <w:szCs w:val="22"/>
        </w:rPr>
        <w:t>I motivi di ricorso presentati da Mediaset a sostegno del presente ricorso devono essere esaminati dalla Corte alla luce di tali considerazioni.</w:t>
      </w:r>
    </w:p>
    <w:p w14:paraId="037C7020"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primo motivo di ricorso: errore di diritto in ragione del rigetto, in quanto irricevibile, del quinto motivo presentato in primo grado</w:t>
      </w:r>
    </w:p>
    <w:p w14:paraId="57E63A0A"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364D773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8" w:name="point39"/>
      <w:r>
        <w:rPr>
          <w:rFonts w:ascii="Arial" w:hAnsi="Arial" w:cs="Arial"/>
          <w:color w:val="000000"/>
          <w:sz w:val="22"/>
          <w:szCs w:val="22"/>
        </w:rPr>
        <w:t>39</w:t>
      </w:r>
      <w:r>
        <w:rPr>
          <w:rStyle w:val="apple-converted-space"/>
          <w:rFonts w:ascii="Arial" w:hAnsi="Arial" w:cs="Arial"/>
          <w:color w:val="000000"/>
          <w:sz w:val="22"/>
          <w:szCs w:val="22"/>
        </w:rPr>
        <w:t> </w:t>
      </w:r>
      <w:bookmarkEnd w:id="38"/>
      <w:r>
        <w:rPr>
          <w:rFonts w:ascii="Arial" w:hAnsi="Arial" w:cs="Arial"/>
          <w:color w:val="000000"/>
          <w:sz w:val="22"/>
          <w:szCs w:val="22"/>
        </w:rPr>
        <w:t>Mediaset sostiene che, ai sensi dell'articolo 44, paragrafo 1, lettera c), del regolamento di procedura del Tribunale, in combinato disposto con l'articolo 48, paragrafo 2, il Tribunale avrebbe dovuto accettare l'ammissibilità del quinto motivo di annullamento proposto in primo grado, in quanto la misura di cui trattasi non escludeva i decodificatori satellitari digitali dal suo campo di applicazione, a condizione che utilizza Mediaset sostiene che tale motivo non era un nuovo motivo sollevato per la prima volta nell'udienza dinanzi al Tribunale, in quanto aveva già sollevato tale questione nella sua applicazione, tra l'altro ai paragrafi 77, 83, 95, 111, 120, 127 e 140, nonché nella sua risposta. Inoltre, la Commissione si è basata, in sua difesa, su una decisione che ha adottato solo dopo che l'azione era stata presentata, il che costituisce un fatto nuovo. Secondo Mediaset, l'errore di diritto così commesso dal Tribunale lo ha portato a valutare erroneamente la portata del provvedimento in questione e quindi a caratterizzarlo erroneamente come non tecnologicamente neutrale.</w:t>
      </w:r>
    </w:p>
    <w:p w14:paraId="54E41E5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39" w:name="point40"/>
      <w:r>
        <w:rPr>
          <w:rFonts w:ascii="Arial" w:hAnsi="Arial" w:cs="Arial"/>
          <w:color w:val="000000"/>
          <w:sz w:val="22"/>
          <w:szCs w:val="22"/>
        </w:rPr>
        <w:t>40</w:t>
      </w:r>
      <w:r>
        <w:rPr>
          <w:rStyle w:val="apple-converted-space"/>
          <w:rFonts w:ascii="Arial" w:hAnsi="Arial" w:cs="Arial"/>
          <w:color w:val="000000"/>
          <w:sz w:val="22"/>
          <w:szCs w:val="22"/>
        </w:rPr>
        <w:t> </w:t>
      </w:r>
      <w:bookmarkEnd w:id="39"/>
      <w:r>
        <w:rPr>
          <w:rFonts w:ascii="Arial" w:hAnsi="Arial" w:cs="Arial"/>
          <w:color w:val="000000"/>
          <w:sz w:val="22"/>
          <w:szCs w:val="22"/>
        </w:rPr>
        <w:t>La Commissione sostiene in risposta che se, come sostiene Mediaset, il quinto motivo in primo grado non era, in realtà, un nuovo motivo ma un'amplificazione degli altri motivi sollevati nel ricorso, il rifiuto di per sé di tale motivo non pregiudicava Mediaset poiché il Tribunale si è occupato di tutti gli altri motivi. Inoltre, la Commissione e Sky Italia si sofferrano sul fatto che, in udienza, Mediaset ha messo in discussione per la prima volta la constatazione della Commissione nella decisione impugnata secondo cui i decodificatori satellitari digitali erano esclusi dal campo di applicazione della misura controversa. Nelle sue memorie, al contrario, Mediaset ha affermato solo che l'esclusione dei decodificatori satellitari digitali era giustificata da alcune delle loro caratteristiche e che i decodificatori digitali in grado di ricevere segnali sia terrestri che satellitari e che utilizzavano standard "aperti" potevano beneficiare della sovvenzione.</w:t>
      </w:r>
    </w:p>
    <w:p w14:paraId="4E6C34B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0" w:name="point41"/>
      <w:r>
        <w:rPr>
          <w:rFonts w:ascii="Arial" w:hAnsi="Arial" w:cs="Arial"/>
          <w:color w:val="000000"/>
          <w:sz w:val="22"/>
          <w:szCs w:val="22"/>
        </w:rPr>
        <w:t>41</w:t>
      </w:r>
      <w:r>
        <w:rPr>
          <w:rStyle w:val="apple-converted-space"/>
          <w:rFonts w:ascii="Arial" w:hAnsi="Arial" w:cs="Arial"/>
          <w:color w:val="000000"/>
          <w:sz w:val="22"/>
          <w:szCs w:val="22"/>
        </w:rPr>
        <w:t> </w:t>
      </w:r>
      <w:bookmarkEnd w:id="40"/>
      <w:r>
        <w:rPr>
          <w:rFonts w:ascii="Arial" w:hAnsi="Arial" w:cs="Arial"/>
          <w:color w:val="000000"/>
          <w:sz w:val="22"/>
          <w:szCs w:val="22"/>
        </w:rPr>
        <w:t>Sky Italia rileva inoltre che l'interpretazione di una disposizione del diritto nazionale da parte del Tribunale equivale a una valutazione di un elemento fattuale. In ogni caso, il Tribunale ha effettivamente effettuato una valutazione della portata del provvedimento in questione, ai punti da 55 a 60 della sentenza impugnata, ed è giunto alla conclusione, sui fatti accertati, che i decodificatori satellitari sono stati esclusi dal suo campo di applicazione.</w:t>
      </w:r>
    </w:p>
    <w:p w14:paraId="282F0CCD"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300AD06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1" w:name="point42"/>
      <w:r>
        <w:rPr>
          <w:rFonts w:ascii="Arial" w:hAnsi="Arial" w:cs="Arial"/>
          <w:color w:val="000000"/>
          <w:sz w:val="22"/>
          <w:szCs w:val="22"/>
        </w:rPr>
        <w:t>42</w:t>
      </w:r>
      <w:r>
        <w:rPr>
          <w:rStyle w:val="apple-converted-space"/>
          <w:rFonts w:ascii="Arial" w:hAnsi="Arial" w:cs="Arial"/>
          <w:color w:val="000000"/>
          <w:sz w:val="22"/>
          <w:szCs w:val="22"/>
        </w:rPr>
        <w:t> </w:t>
      </w:r>
      <w:bookmarkEnd w:id="41"/>
      <w:r>
        <w:rPr>
          <w:rFonts w:ascii="Arial" w:hAnsi="Arial" w:cs="Arial"/>
          <w:color w:val="000000"/>
          <w:sz w:val="22"/>
          <w:szCs w:val="22"/>
        </w:rPr>
        <w:t>Dall'articolo 44, paragrafo 1, lettera c), in combinato disposto con l'articolo 48, paragrafo 2, del regolamento di procedura del Tribunale che l'avvio del procedimento deve contenere, tra l'altro, una sintesi dei motivi invocati e che i nuovi motivi non possono essere introdotti nel corso del procedimento a meno che non siano basati su questioni giuridiche o di fatto che sono 'eche sono</w:t>
      </w:r>
    </w:p>
    <w:p w14:paraId="29EA585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2" w:name="point43"/>
      <w:r>
        <w:rPr>
          <w:rFonts w:ascii="Arial" w:hAnsi="Arial" w:cs="Arial"/>
          <w:color w:val="000000"/>
          <w:sz w:val="22"/>
          <w:szCs w:val="22"/>
        </w:rPr>
        <w:t>43</w:t>
      </w:r>
      <w:r>
        <w:rPr>
          <w:rStyle w:val="apple-converted-space"/>
          <w:rFonts w:ascii="Arial" w:hAnsi="Arial" w:cs="Arial"/>
          <w:color w:val="000000"/>
          <w:sz w:val="22"/>
          <w:szCs w:val="22"/>
        </w:rPr>
        <w:t> </w:t>
      </w:r>
      <w:bookmarkEnd w:id="42"/>
      <w:r>
        <w:rPr>
          <w:rFonts w:ascii="Arial" w:hAnsi="Arial" w:cs="Arial"/>
          <w:color w:val="000000"/>
          <w:sz w:val="22"/>
          <w:szCs w:val="22"/>
        </w:rPr>
        <w:t>Nel caso di specie, non risulta da nessuno dei sette paragrafi della domanda in primo grado in cui Mediaset sostiene di contestare l'ambito di applicazione della misura controversa, né da una lettura della domanda nella sua interezza, che Mediaset abbia adeguatamente sollevato nella domanda il quinto motivo secondo cui la misura controversa non escludeva i decodificatori satellitari digitali dal suo ambito di applicazione a condizione che utilizzassero norme</w:t>
      </w:r>
    </w:p>
    <w:p w14:paraId="1E4BAF5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3" w:name="point44"/>
      <w:r>
        <w:rPr>
          <w:rFonts w:ascii="Arial" w:hAnsi="Arial" w:cs="Arial"/>
          <w:color w:val="000000"/>
          <w:sz w:val="22"/>
          <w:szCs w:val="22"/>
        </w:rPr>
        <w:t>44</w:t>
      </w:r>
      <w:r>
        <w:rPr>
          <w:rStyle w:val="apple-converted-space"/>
          <w:rFonts w:ascii="Arial" w:hAnsi="Arial" w:cs="Arial"/>
          <w:color w:val="000000"/>
          <w:sz w:val="22"/>
          <w:szCs w:val="22"/>
        </w:rPr>
        <w:t> </w:t>
      </w:r>
      <w:bookmarkEnd w:id="43"/>
      <w:r>
        <w:rPr>
          <w:rFonts w:ascii="Arial" w:hAnsi="Arial" w:cs="Arial"/>
          <w:color w:val="000000"/>
          <w:sz w:val="22"/>
          <w:szCs w:val="22"/>
        </w:rPr>
        <w:t>Certo, Mediaset sostiene, in alcuni paragrafi di tale domanda, che la misura in questione non ha influito negativamente sulle emittenti satellitari e ha soddisfatto il test di neutralità tecnologica. Tuttavia, l’argomentazione avanzata a sostegno di tale proposta consiste, in sostanza, nell’affermazione di Mediaset secondo cui non era giustificato estendere il campo di applicazione di tale misura ai decoder satellitari digitali, poiché, in particolare, non vi era alcuna fornitura di decoder satellitari digitali standard «aperti» sul mercato ed era improbabile che tale offerta sarebbe nata nel breve periodo durante il quale la misura in L'unico esempio menzionato da Mediaset nella sua applicazione in prima istanza di una situazione in cui un decodificatore satellitare digitale avrebbe potuto rientrare nell'ambito della misura in questione è la vendita di un decodificatore "ibrido", in altre parole, un decodificatore che era sia un decodificatore terrestre che un decodificatore satellitare.</w:t>
      </w:r>
    </w:p>
    <w:p w14:paraId="5891624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4" w:name="point45"/>
      <w:r>
        <w:rPr>
          <w:rFonts w:ascii="Arial" w:hAnsi="Arial" w:cs="Arial"/>
          <w:color w:val="000000"/>
          <w:sz w:val="22"/>
          <w:szCs w:val="22"/>
        </w:rPr>
        <w:t>45</w:t>
      </w:r>
      <w:r>
        <w:rPr>
          <w:rStyle w:val="apple-converted-space"/>
          <w:rFonts w:ascii="Arial" w:hAnsi="Arial" w:cs="Arial"/>
          <w:color w:val="000000"/>
          <w:sz w:val="22"/>
          <w:szCs w:val="22"/>
        </w:rPr>
        <w:t> </w:t>
      </w:r>
      <w:bookmarkEnd w:id="44"/>
      <w:r>
        <w:rPr>
          <w:rFonts w:ascii="Arial" w:hAnsi="Arial" w:cs="Arial"/>
          <w:color w:val="000000"/>
          <w:sz w:val="22"/>
          <w:szCs w:val="22"/>
        </w:rPr>
        <w:t>È chiaro che tali argomenti non possono essere equiparati al quinto motivo sollevato in primo grado. Nessuno di questi argomenti, anche se accertati, avrebbe permesso al Tribunale di concludere che la misura in questione poteva essere applicata a qualsiasi decodificatore satellitare digitale diverso da un decodificatore «ibrido».</w:t>
      </w:r>
    </w:p>
    <w:p w14:paraId="5C7361C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5" w:name="point46"/>
      <w:r>
        <w:rPr>
          <w:rFonts w:ascii="Arial" w:hAnsi="Arial" w:cs="Arial"/>
          <w:color w:val="000000"/>
          <w:sz w:val="22"/>
          <w:szCs w:val="22"/>
        </w:rPr>
        <w:t>46</w:t>
      </w:r>
      <w:r>
        <w:rPr>
          <w:rStyle w:val="apple-converted-space"/>
          <w:rFonts w:ascii="Arial" w:hAnsi="Arial" w:cs="Arial"/>
          <w:color w:val="000000"/>
          <w:sz w:val="22"/>
          <w:szCs w:val="22"/>
        </w:rPr>
        <w:t> </w:t>
      </w:r>
      <w:bookmarkEnd w:id="45"/>
      <w:r>
        <w:rPr>
          <w:rFonts w:ascii="Arial" w:hAnsi="Arial" w:cs="Arial"/>
          <w:color w:val="000000"/>
          <w:sz w:val="22"/>
          <w:szCs w:val="22"/>
        </w:rPr>
        <w:t>Va osservato, in particolare, che, al punto 95 della sentenza impugnata, il Tribunale ha espressamente respinto l'argomento secondo cui Sky Italia potrebbe beneficiare della misura in questione offrendo decodificatori «ibridi», sottolineando che tale argomento evidenziava la natura selettiva di tale misura. Di conseguenza, il Tribunale ha tenuto conto del fatto che i decodificatori «ibridi» erano coperti dalla misura in questione, ma ha dichiarato che i decodificatori che erano esclusivamente decodificatori satellitari ne erano esclusi, indipendentemente dal fatto che utilizzassero standard «aperti» o «proprietari».</w:t>
      </w:r>
    </w:p>
    <w:p w14:paraId="517B0D6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6" w:name="point47"/>
      <w:r>
        <w:rPr>
          <w:rFonts w:ascii="Arial" w:hAnsi="Arial" w:cs="Arial"/>
          <w:color w:val="000000"/>
          <w:sz w:val="22"/>
          <w:szCs w:val="22"/>
        </w:rPr>
        <w:t>47</w:t>
      </w:r>
      <w:r>
        <w:rPr>
          <w:rStyle w:val="apple-converted-space"/>
          <w:rFonts w:ascii="Arial" w:hAnsi="Arial" w:cs="Arial"/>
          <w:color w:val="000000"/>
          <w:sz w:val="22"/>
          <w:szCs w:val="22"/>
        </w:rPr>
        <w:t> </w:t>
      </w:r>
      <w:bookmarkEnd w:id="46"/>
      <w:r>
        <w:rPr>
          <w:rFonts w:ascii="Arial" w:hAnsi="Arial" w:cs="Arial"/>
          <w:color w:val="000000"/>
          <w:sz w:val="22"/>
          <w:szCs w:val="22"/>
        </w:rPr>
        <w:t>Infine, il fatto che la Commissione abbia invocato, nella difesa che ha presentato al Tribunale, una decisione che ha adottato solo dopo l'azione del ricorso non ha alcun effetto sulla legittimità, sulla portata o sull'interpretazione della decisione impugnata. Ciò non costituisce quindi un fatto nuovo ai sensi dell’articolo 48, paragrafo 2, del regolamento di procedura del Tribunale.</w:t>
      </w:r>
    </w:p>
    <w:p w14:paraId="78BDD06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7" w:name="point48"/>
      <w:r>
        <w:rPr>
          <w:rFonts w:ascii="Arial" w:hAnsi="Arial" w:cs="Arial"/>
          <w:color w:val="000000"/>
          <w:sz w:val="22"/>
          <w:szCs w:val="22"/>
        </w:rPr>
        <w:t>48</w:t>
      </w:r>
      <w:r>
        <w:rPr>
          <w:rStyle w:val="apple-converted-space"/>
          <w:rFonts w:ascii="Arial" w:hAnsi="Arial" w:cs="Arial"/>
          <w:color w:val="000000"/>
          <w:sz w:val="22"/>
          <w:szCs w:val="22"/>
        </w:rPr>
        <w:t> </w:t>
      </w:r>
      <w:bookmarkEnd w:id="47"/>
      <w:r>
        <w:rPr>
          <w:rFonts w:ascii="Arial" w:hAnsi="Arial" w:cs="Arial"/>
          <w:color w:val="000000"/>
          <w:sz w:val="22"/>
          <w:szCs w:val="22"/>
        </w:rPr>
        <w:t>Da quanto precede risulta che il primo motivo di ricorso deve essere respinto.</w:t>
      </w:r>
    </w:p>
    <w:p w14:paraId="24F1E5A7"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secondo motivo di ricorso: errore di diritto per il rifiuto, in quanto irricevibile, della terza parte del primo motivo sollevato in primo grado</w:t>
      </w:r>
    </w:p>
    <w:p w14:paraId="6F03FB7A"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06D35FE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8" w:name="point49"/>
      <w:r>
        <w:rPr>
          <w:rFonts w:ascii="Arial" w:hAnsi="Arial" w:cs="Arial"/>
          <w:color w:val="000000"/>
          <w:sz w:val="22"/>
          <w:szCs w:val="22"/>
        </w:rPr>
        <w:t>49</w:t>
      </w:r>
      <w:r>
        <w:rPr>
          <w:rStyle w:val="apple-converted-space"/>
          <w:rFonts w:ascii="Arial" w:hAnsi="Arial" w:cs="Arial"/>
          <w:color w:val="000000"/>
          <w:sz w:val="22"/>
          <w:szCs w:val="22"/>
        </w:rPr>
        <w:t> </w:t>
      </w:r>
      <w:bookmarkEnd w:id="48"/>
      <w:r>
        <w:rPr>
          <w:rFonts w:ascii="Arial" w:hAnsi="Arial" w:cs="Arial"/>
          <w:color w:val="000000"/>
          <w:sz w:val="22"/>
          <w:szCs w:val="22"/>
        </w:rPr>
        <w:t>Mediaset sostiene che il Tribunale ha commesso un errore di diritto respingendo come irricevibile la terza parte del primo motivo sollevato in primo grado, sostenendo l'assenza di selettività nella natura del provvedimento di cui trattasi, in quanto tale parte del motivo non è stata detta in modo sufficientemente chiaro e preciso nel ricorso in primo grado. Mediaset sostiene che tale errore di diritto è molto evidente dalla lettura della domanda, e in particolare del suo paragrafo 61. La critica di Mediaset nei confronti della Commissione in quella parte dell’appello è che ha ritenuto che la misura in questione fosse selettiva perché, a causa del fatto che non era tecnologicamente neutrale, era discriminatoria.</w:t>
      </w:r>
    </w:p>
    <w:p w14:paraId="7613AA1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49" w:name="point50"/>
      <w:r>
        <w:rPr>
          <w:rFonts w:ascii="Arial" w:hAnsi="Arial" w:cs="Arial"/>
          <w:color w:val="000000"/>
          <w:sz w:val="22"/>
          <w:szCs w:val="22"/>
        </w:rPr>
        <w:t>50</w:t>
      </w:r>
      <w:r>
        <w:rPr>
          <w:rStyle w:val="apple-converted-space"/>
          <w:rFonts w:ascii="Arial" w:hAnsi="Arial" w:cs="Arial"/>
          <w:color w:val="000000"/>
          <w:sz w:val="22"/>
          <w:szCs w:val="22"/>
        </w:rPr>
        <w:t> </w:t>
      </w:r>
      <w:bookmarkEnd w:id="49"/>
      <w:r>
        <w:rPr>
          <w:rFonts w:ascii="Arial" w:hAnsi="Arial" w:cs="Arial"/>
          <w:color w:val="000000"/>
          <w:sz w:val="22"/>
          <w:szCs w:val="22"/>
        </w:rPr>
        <w:t>Le argomentazioni di Mediaset sono contestate dalla Commissione e da Sky Italia, che sollevano diverse obiezioni. In primo luogo, la discriminazione non è un argomento avanzato dalla Commissione nella decisione impugnata per concludere che la misura controversa è selettiva. In ogni caso, a norma dell'articolo 87, paragrafo 1, CE, l'esclusione delle emittenti via satellite dal beneficio della misura di cui trattasi era un elemento che autorizzava legittimamente la Commissione a concludere che la misura era selettiva e falsava la concorrenza. Inoltre, Sky Italia sostiene che il secondo motivo di ricorso richiede una nuova valutazione dei fatti da parte della Corte ed è quindi inammissibile.</w:t>
      </w:r>
    </w:p>
    <w:p w14:paraId="6B710786"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6A3A917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0" w:name="point51"/>
      <w:r>
        <w:rPr>
          <w:rFonts w:ascii="Arial" w:hAnsi="Arial" w:cs="Arial"/>
          <w:color w:val="000000"/>
          <w:sz w:val="22"/>
          <w:szCs w:val="22"/>
        </w:rPr>
        <w:t>51</w:t>
      </w:r>
      <w:r>
        <w:rPr>
          <w:rStyle w:val="apple-converted-space"/>
          <w:rFonts w:ascii="Arial" w:hAnsi="Arial" w:cs="Arial"/>
          <w:color w:val="000000"/>
          <w:sz w:val="22"/>
          <w:szCs w:val="22"/>
        </w:rPr>
        <w:t> </w:t>
      </w:r>
      <w:bookmarkEnd w:id="50"/>
      <w:r>
        <w:rPr>
          <w:rFonts w:ascii="Arial" w:hAnsi="Arial" w:cs="Arial"/>
          <w:color w:val="000000"/>
          <w:sz w:val="22"/>
          <w:szCs w:val="22"/>
        </w:rPr>
        <w:t>Non è necessario pronunciarsi sull'ammissibilità di questo motivo di ricorso poiché è chiaramente infondato (cfr., per analogia, cause riunite da C</w:t>
      </w:r>
      <w:r>
        <w:rPr>
          <w:rFonts w:ascii="Cambria Math" w:hAnsi="Cambria Math" w:cs="Cambria Math"/>
          <w:color w:val="000000"/>
          <w:sz w:val="22"/>
          <w:szCs w:val="22"/>
        </w:rPr>
        <w:t>‐</w:t>
      </w:r>
      <w:r>
        <w:rPr>
          <w:rFonts w:ascii="Arial" w:hAnsi="Arial" w:cs="Arial"/>
          <w:color w:val="000000"/>
          <w:sz w:val="22"/>
          <w:szCs w:val="22"/>
        </w:rPr>
        <w:t>465/09 P a C</w:t>
      </w:r>
      <w:r>
        <w:rPr>
          <w:rFonts w:ascii="Cambria Math" w:hAnsi="Cambria Math" w:cs="Cambria Math"/>
          <w:color w:val="000000"/>
          <w:sz w:val="22"/>
          <w:szCs w:val="22"/>
        </w:rPr>
        <w:t>‐</w:t>
      </w:r>
      <w:r>
        <w:rPr>
          <w:rFonts w:ascii="Arial" w:hAnsi="Arial" w:cs="Arial"/>
          <w:color w:val="000000"/>
          <w:sz w:val="22"/>
          <w:szCs w:val="22"/>
        </w:rPr>
        <w:t>470/09 P</w:t>
      </w:r>
      <w:r>
        <w:rPr>
          <w:rStyle w:val="apple-converted-space"/>
          <w:rFonts w:ascii="Arial" w:hAnsi="Arial" w:cs="Arial"/>
          <w:color w:val="000000"/>
          <w:sz w:val="22"/>
          <w:szCs w:val="22"/>
        </w:rPr>
        <w:t> </w:t>
      </w:r>
      <w:r>
        <w:rPr>
          <w:rFonts w:ascii="Arial" w:hAnsi="Arial" w:cs="Arial"/>
          <w:i/>
          <w:iCs/>
          <w:color w:val="000000"/>
          <w:sz w:val="22"/>
          <w:szCs w:val="22"/>
        </w:rPr>
        <w:t>Diputación Foral de Vizcaya e a.</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[2011] ECR I</w:t>
      </w:r>
      <w:r>
        <w:rPr>
          <w:rFonts w:ascii="Cambria Math" w:hAnsi="Cambria Math" w:cs="Cambria Math"/>
          <w:color w:val="000000"/>
          <w:sz w:val="22"/>
          <w:szCs w:val="22"/>
        </w:rPr>
        <w:t>‐</w:t>
      </w:r>
      <w:r>
        <w:rPr>
          <w:rFonts w:ascii="Arial" w:hAnsi="Arial" w:cs="Arial"/>
          <w:color w:val="000000"/>
          <w:sz w:val="22"/>
          <w:szCs w:val="22"/>
        </w:rPr>
        <w:t>0000, punto 115).</w:t>
      </w:r>
    </w:p>
    <w:p w14:paraId="63EC8BA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1" w:name="point52"/>
      <w:r>
        <w:rPr>
          <w:rFonts w:ascii="Arial" w:hAnsi="Arial" w:cs="Arial"/>
          <w:color w:val="000000"/>
          <w:sz w:val="22"/>
          <w:szCs w:val="22"/>
        </w:rPr>
        <w:t>52</w:t>
      </w:r>
      <w:r>
        <w:rPr>
          <w:rStyle w:val="apple-converted-space"/>
          <w:rFonts w:ascii="Arial" w:hAnsi="Arial" w:cs="Arial"/>
          <w:color w:val="000000"/>
          <w:sz w:val="22"/>
          <w:szCs w:val="22"/>
        </w:rPr>
        <w:t> </w:t>
      </w:r>
      <w:bookmarkEnd w:id="51"/>
      <w:r>
        <w:rPr>
          <w:rFonts w:ascii="Arial" w:hAnsi="Arial" w:cs="Arial"/>
          <w:color w:val="000000"/>
          <w:sz w:val="22"/>
          <w:szCs w:val="22"/>
        </w:rPr>
        <w:t>Come è stato affermato al punto 42 della presente sentenza, ai sensi dell'articolo 44, paragrafo 1, lettera c), del regolamento di procedura del Tribunale, il ricorso che avvia il procedimento deve contenere, tra l'altro, una sintesi dei motivi di legge su cui si basa il ricorso.</w:t>
      </w:r>
    </w:p>
    <w:p w14:paraId="04B7643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2" w:name="point53"/>
      <w:r>
        <w:rPr>
          <w:rFonts w:ascii="Arial" w:hAnsi="Arial" w:cs="Arial"/>
          <w:color w:val="000000"/>
          <w:sz w:val="22"/>
          <w:szCs w:val="22"/>
        </w:rPr>
        <w:t>53</w:t>
      </w:r>
      <w:r>
        <w:rPr>
          <w:rStyle w:val="apple-converted-space"/>
          <w:rFonts w:ascii="Arial" w:hAnsi="Arial" w:cs="Arial"/>
          <w:color w:val="000000"/>
          <w:sz w:val="22"/>
          <w:szCs w:val="22"/>
        </w:rPr>
        <w:t> </w:t>
      </w:r>
      <w:bookmarkEnd w:id="52"/>
      <w:r>
        <w:rPr>
          <w:rFonts w:ascii="Arial" w:hAnsi="Arial" w:cs="Arial"/>
          <w:color w:val="000000"/>
          <w:sz w:val="22"/>
          <w:szCs w:val="22"/>
        </w:rPr>
        <w:t>Nel caso di specie, la terza parte del primo motivo è stata delineata in un unico paragrafo di sei righe nella domanda presentata in primo grado e equivale all'affermazione che il fatto che vi sia una discriminazione tra i diversi operatori nella concessione di una sovvenzione non è un motivo sufficiente per ritenere che tale sovvenzione sia selettiva.</w:t>
      </w:r>
    </w:p>
    <w:p w14:paraId="0A8B2DFA"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3" w:name="point54"/>
      <w:r>
        <w:rPr>
          <w:rFonts w:ascii="Arial" w:hAnsi="Arial" w:cs="Arial"/>
          <w:color w:val="000000"/>
          <w:sz w:val="22"/>
          <w:szCs w:val="22"/>
        </w:rPr>
        <w:t>54</w:t>
      </w:r>
      <w:r>
        <w:rPr>
          <w:rStyle w:val="apple-converted-space"/>
          <w:rFonts w:ascii="Arial" w:hAnsi="Arial" w:cs="Arial"/>
          <w:color w:val="000000"/>
          <w:sz w:val="22"/>
          <w:szCs w:val="22"/>
        </w:rPr>
        <w:t> </w:t>
      </w:r>
      <w:bookmarkEnd w:id="53"/>
      <w:r>
        <w:rPr>
          <w:rFonts w:ascii="Arial" w:hAnsi="Arial" w:cs="Arial"/>
          <w:color w:val="000000"/>
          <w:sz w:val="22"/>
          <w:szCs w:val="22"/>
        </w:rPr>
        <w:t>Tuttavia, conformemente alla giurisprudenza citata al punto 36 della presente sentenza, una misura nazionale che discrimina tra le imprese, nel senso che è suscettibile di favorire alcune di esse rispetto ad altre, deve essere considerata selettiva e quindi costituente un aiuto di Stato ai sensi dell'articolo 87, paragrafo 1, CE. Questo è il caso, ad esempio, quando una misura sovvenziona l'acquisto da parte dei consumatori di un prodotto utilizzato da un'impresa per la fornitura di un servizio mentre l'acquisto del prodotto utilizzato da un'altra impresa per la fornitura di un servizio simile non è sovvenzionato.</w:t>
      </w:r>
    </w:p>
    <w:p w14:paraId="186F8D9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4" w:name="point55"/>
      <w:r>
        <w:rPr>
          <w:rFonts w:ascii="Arial" w:hAnsi="Arial" w:cs="Arial"/>
          <w:color w:val="000000"/>
          <w:sz w:val="22"/>
          <w:szCs w:val="22"/>
        </w:rPr>
        <w:t>55</w:t>
      </w:r>
      <w:r>
        <w:rPr>
          <w:rStyle w:val="apple-converted-space"/>
          <w:rFonts w:ascii="Arial" w:hAnsi="Arial" w:cs="Arial"/>
          <w:color w:val="000000"/>
          <w:sz w:val="22"/>
          <w:szCs w:val="22"/>
        </w:rPr>
        <w:t> </w:t>
      </w:r>
      <w:bookmarkEnd w:id="54"/>
      <w:r>
        <w:rPr>
          <w:rFonts w:ascii="Arial" w:hAnsi="Arial" w:cs="Arial"/>
          <w:color w:val="000000"/>
          <w:sz w:val="22"/>
          <w:szCs w:val="22"/>
        </w:rPr>
        <w:t>Di conseguenza, solo se Mediaset avesse argomentazioni avanzate a sostegno dell'opinione che la misura in questione potrebbe non essere selettiva, nonostante sia discriminatoria, la terza parte del primo motivo sollevato in primo grado avrebbe soddisfatto i requisiti dell'articolo 44, paragrafo 1, lettera c), del regolamento di procedura del Tribunale. Tuttavia, non ci sono tali argomenti nella domanda presentata in prima istanza.</w:t>
      </w:r>
    </w:p>
    <w:p w14:paraId="0A969A9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5" w:name="point56"/>
      <w:r>
        <w:rPr>
          <w:rFonts w:ascii="Arial" w:hAnsi="Arial" w:cs="Arial"/>
          <w:color w:val="000000"/>
          <w:sz w:val="22"/>
          <w:szCs w:val="22"/>
        </w:rPr>
        <w:t>56</w:t>
      </w:r>
      <w:r>
        <w:rPr>
          <w:rStyle w:val="apple-converted-space"/>
          <w:rFonts w:ascii="Arial" w:hAnsi="Arial" w:cs="Arial"/>
          <w:color w:val="000000"/>
          <w:sz w:val="22"/>
          <w:szCs w:val="22"/>
        </w:rPr>
        <w:t> </w:t>
      </w:r>
      <w:bookmarkEnd w:id="55"/>
      <w:r>
        <w:rPr>
          <w:rFonts w:ascii="Arial" w:hAnsi="Arial" w:cs="Arial"/>
          <w:color w:val="000000"/>
          <w:sz w:val="22"/>
          <w:szCs w:val="22"/>
        </w:rPr>
        <w:t>In tali circostanze, il Tribunale ha corretto nel respingere, al punto 84 della sentenza impugnata, la terza parte del primo motivo sollevato dinanzi ad esso come irricevibile per il fatto che Mediaset non aveva spiegato come il fatto che l'aiuto sia applicato in modo discriminatorio non consenta di dedurre che esso sia selettivo ai fini dell'articolo 87, paragrafo 1, CE. Ne consegue che il secondo motivo di ricorso deve essere respinto.</w:t>
      </w:r>
    </w:p>
    <w:p w14:paraId="4EB46A91"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Terzo motivo di ricorso: errore di diritto in quanto il Tribunale ha fatto affidamento unicamente sulla presunta selettività del provvedimento in questione per concludere che esso aveva creato un vantaggio economico per Mediaset</w:t>
      </w:r>
    </w:p>
    <w:p w14:paraId="7A6917DC"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2CC5554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6" w:name="point57"/>
      <w:r>
        <w:rPr>
          <w:rFonts w:ascii="Arial" w:hAnsi="Arial" w:cs="Arial"/>
          <w:color w:val="000000"/>
          <w:sz w:val="22"/>
          <w:szCs w:val="22"/>
        </w:rPr>
        <w:t>57</w:t>
      </w:r>
      <w:r>
        <w:rPr>
          <w:rStyle w:val="apple-converted-space"/>
          <w:rFonts w:ascii="Arial" w:hAnsi="Arial" w:cs="Arial"/>
          <w:color w:val="000000"/>
          <w:sz w:val="22"/>
          <w:szCs w:val="22"/>
        </w:rPr>
        <w:t> </w:t>
      </w:r>
      <w:bookmarkEnd w:id="56"/>
      <w:r>
        <w:rPr>
          <w:rFonts w:ascii="Arial" w:hAnsi="Arial" w:cs="Arial"/>
          <w:color w:val="000000"/>
          <w:sz w:val="22"/>
          <w:szCs w:val="22"/>
        </w:rPr>
        <w:t>Mediaset sostiene che il Tribunale non ha tenuto conto del fatto che, ai sensi dell'articolo 87, paragrafo 1, CE, devono essere soddisfatte due condizioni distinte affinché una misura nazionale come quella di cui tratta sia qualificata come aiuto di Stato. Pertanto, la Commissione deve stabilire non solo che una misura di aiuto è selettiva, nel senso che si applica solo a determinate imprese o alla produzione di determinati beni, ma anche che conferisce un vantaggio economico a un beneficiario, nel senso che favorisce tale beneficiario. Poiché l’esame del Tribunale sull’esistenza di un tale vantaggio economico non era né autonomo né adeguato, l’analisi del Tribunale era illegale.</w:t>
      </w:r>
    </w:p>
    <w:p w14:paraId="2966208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7" w:name="point58"/>
      <w:r>
        <w:rPr>
          <w:rFonts w:ascii="Arial" w:hAnsi="Arial" w:cs="Arial"/>
          <w:color w:val="000000"/>
          <w:sz w:val="22"/>
          <w:szCs w:val="22"/>
        </w:rPr>
        <w:t>58</w:t>
      </w:r>
      <w:r>
        <w:rPr>
          <w:rStyle w:val="apple-converted-space"/>
          <w:rFonts w:ascii="Arial" w:hAnsi="Arial" w:cs="Arial"/>
          <w:color w:val="000000"/>
          <w:sz w:val="22"/>
          <w:szCs w:val="22"/>
        </w:rPr>
        <w:t> </w:t>
      </w:r>
      <w:bookmarkEnd w:id="57"/>
      <w:r>
        <w:rPr>
          <w:rFonts w:ascii="Arial" w:hAnsi="Arial" w:cs="Arial"/>
          <w:color w:val="000000"/>
          <w:sz w:val="22"/>
          <w:szCs w:val="22"/>
        </w:rPr>
        <w:t>Mediaset insiste sul fatto che la misura in questione non era selettiva sulla base del fatto che i decodificatori satellitari digitali erano esclusi dal beneficio della misura in questione, sostenendo che tali decodificatori, e in particolare quelli commercializzati da Sky Italia, utilizzavano tutti una tecnologia "chiusa" o "proprietario", mentre solo i decodificatori digitali che utilizzavano la tecnologia "aper</w:t>
      </w:r>
    </w:p>
    <w:p w14:paraId="4DFB6FD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8" w:name="point59"/>
      <w:r>
        <w:rPr>
          <w:rFonts w:ascii="Arial" w:hAnsi="Arial" w:cs="Arial"/>
          <w:color w:val="000000"/>
          <w:sz w:val="22"/>
          <w:szCs w:val="22"/>
        </w:rPr>
        <w:t>59</w:t>
      </w:r>
      <w:r>
        <w:rPr>
          <w:rStyle w:val="apple-converted-space"/>
          <w:rFonts w:ascii="Arial" w:hAnsi="Arial" w:cs="Arial"/>
          <w:color w:val="000000"/>
          <w:sz w:val="22"/>
          <w:szCs w:val="22"/>
        </w:rPr>
        <w:t> </w:t>
      </w:r>
      <w:bookmarkEnd w:id="58"/>
      <w:r>
        <w:rPr>
          <w:rFonts w:ascii="Arial" w:hAnsi="Arial" w:cs="Arial"/>
          <w:color w:val="000000"/>
          <w:sz w:val="22"/>
          <w:szCs w:val="22"/>
        </w:rPr>
        <w:t>La Commissione e Sky Italia contestano l'affermazione secondo cui il Tribunale si è basato unicamente sulla selettività della misura in questione per trovare che vi fosse un vantaggio economico. In effetti, il Tribunale ha dichiarato che le sovvenzioni ai consumatori pagate nell'ambito della misura in questione sono vantaggi per le emittenti terrestri interessate perché le aiutano a costruire un pubblico, che è una parte cruciale della loro attività, e perché possono influenzare la scelta dei consumatori a favore di un particolare programma televisivo. Sky Italia sostiene, ancora una volta, che, con il terzo motivo di appello, Mediaset chiede che la Corte rivaluta i fatti: di conseguenza, questo motivo di appello è inammissibile. Sky Italia aggiunge che, poiché la Repubblica italiana ha agito come autorità pubblica nel contesto del presente caso, piuttosto che come investitore, non era in alcun caso necessaria una valutazione economica dettagliata della misura in questione.</w:t>
      </w:r>
    </w:p>
    <w:p w14:paraId="41FDF11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59" w:name="point60"/>
      <w:r>
        <w:rPr>
          <w:rFonts w:ascii="Arial" w:hAnsi="Arial" w:cs="Arial"/>
          <w:color w:val="000000"/>
          <w:sz w:val="22"/>
          <w:szCs w:val="22"/>
        </w:rPr>
        <w:t>60</w:t>
      </w:r>
      <w:r>
        <w:rPr>
          <w:rStyle w:val="apple-converted-space"/>
          <w:rFonts w:ascii="Arial" w:hAnsi="Arial" w:cs="Arial"/>
          <w:color w:val="000000"/>
          <w:sz w:val="22"/>
          <w:szCs w:val="22"/>
        </w:rPr>
        <w:t> </w:t>
      </w:r>
      <w:bookmarkEnd w:id="59"/>
      <w:r>
        <w:rPr>
          <w:rFonts w:ascii="Arial" w:hAnsi="Arial" w:cs="Arial"/>
          <w:color w:val="000000"/>
          <w:sz w:val="22"/>
          <w:szCs w:val="22"/>
        </w:rPr>
        <w:t>In risposta alle argomentazioni di Mediaset riguardanti l’effettiva selettività della misura e, in particolare, l’affermazione secondo cui Sky Italia non avrebbe potuto beneficiare dell’aiuto in ogni caso, in quanto non utilizzava decoder digitali «open» e interoperabili al momento dell’adozione della misura in questione, la Commissione sostiene che è impossibile sapere quale sarebbe stata la scelta commerciale di tale Sky Italia ha lanciato i propri decodificatori «proprietari» solo dopo l'adozione della legge finanziaria del 2004, con il risultato che tale scelta avrebbe potuto essere influenzata dai criteri stabiliti nella misura in questione.</w:t>
      </w:r>
    </w:p>
    <w:p w14:paraId="46177186"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0C6AFDE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0" w:name="point61"/>
      <w:r>
        <w:rPr>
          <w:rFonts w:ascii="Arial" w:hAnsi="Arial" w:cs="Arial"/>
          <w:color w:val="000000"/>
          <w:sz w:val="22"/>
          <w:szCs w:val="22"/>
        </w:rPr>
        <w:t>61</w:t>
      </w:r>
      <w:r>
        <w:rPr>
          <w:rStyle w:val="apple-converted-space"/>
          <w:rFonts w:ascii="Arial" w:hAnsi="Arial" w:cs="Arial"/>
          <w:color w:val="000000"/>
          <w:sz w:val="22"/>
          <w:szCs w:val="22"/>
        </w:rPr>
        <w:t> </w:t>
      </w:r>
      <w:bookmarkEnd w:id="60"/>
      <w:r>
        <w:rPr>
          <w:rFonts w:ascii="Arial" w:hAnsi="Arial" w:cs="Arial"/>
          <w:color w:val="000000"/>
          <w:sz w:val="22"/>
          <w:szCs w:val="22"/>
        </w:rPr>
        <w:t>Non è necessario pronunciarsi sull'ammissibilità di questo motivo di ricorso poiché è chiaramente infondato (cfr. punto 51 della presente sentenza e giurisprudenza citata).</w:t>
      </w:r>
    </w:p>
    <w:p w14:paraId="7F9BEAD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1" w:name="point62"/>
      <w:r>
        <w:rPr>
          <w:rFonts w:ascii="Arial" w:hAnsi="Arial" w:cs="Arial"/>
          <w:color w:val="000000"/>
          <w:sz w:val="22"/>
          <w:szCs w:val="22"/>
        </w:rPr>
        <w:t>62</w:t>
      </w:r>
      <w:r>
        <w:rPr>
          <w:rStyle w:val="apple-converted-space"/>
          <w:rFonts w:ascii="Arial" w:hAnsi="Arial" w:cs="Arial"/>
          <w:color w:val="000000"/>
          <w:sz w:val="22"/>
          <w:szCs w:val="22"/>
        </w:rPr>
        <w:t> </w:t>
      </w:r>
      <w:bookmarkEnd w:id="61"/>
      <w:r>
        <w:rPr>
          <w:rFonts w:ascii="Arial" w:hAnsi="Arial" w:cs="Arial"/>
          <w:color w:val="000000"/>
          <w:sz w:val="22"/>
          <w:szCs w:val="22"/>
        </w:rPr>
        <w:t>Conformemente alla giurisprudenza citata al punto 36 della presente sentenza, al fine di stabilire se una misura è selettiva, è opportuno esaminare se tale misura costituisca un vantaggio per talune imprese rispetto ad altre che si trovano in una situazione di fatto e giuridica comparabile. Di conseguenza, contrariamente a quanto sostenuto da Mediaset, le condizioni relative alla selettività di una misura di aiuto di Stato e alla creazione di un vantaggio economico per un beneficiario non sono del tutto indipendenti l'una dall'altra. Una misura può essere considerata selettiva solo se è probabile che crei un tale vantaggio per un destinatario senza farlo per altre persone la cui situazione è paragonabile a quella del destinatario.</w:t>
      </w:r>
    </w:p>
    <w:p w14:paraId="1B8D75C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2" w:name="point63"/>
      <w:r>
        <w:rPr>
          <w:rFonts w:ascii="Arial" w:hAnsi="Arial" w:cs="Arial"/>
          <w:color w:val="000000"/>
          <w:sz w:val="22"/>
          <w:szCs w:val="22"/>
        </w:rPr>
        <w:t>63</w:t>
      </w:r>
      <w:r>
        <w:rPr>
          <w:rStyle w:val="apple-converted-space"/>
          <w:rFonts w:ascii="Arial" w:hAnsi="Arial" w:cs="Arial"/>
          <w:color w:val="000000"/>
          <w:sz w:val="22"/>
          <w:szCs w:val="22"/>
        </w:rPr>
        <w:t> </w:t>
      </w:r>
      <w:bookmarkEnd w:id="62"/>
      <w:r>
        <w:rPr>
          <w:rFonts w:ascii="Arial" w:hAnsi="Arial" w:cs="Arial"/>
          <w:color w:val="000000"/>
          <w:sz w:val="22"/>
          <w:szCs w:val="22"/>
        </w:rPr>
        <w:t>Inoltre, contrariamente a quanto sostenuto da Mediaset, il Tribunale ha dichiarato espressamente, ai punti da 62 a 68 della sentenza impugnata, i vantaggi economici – correttamente individuati, a parere del Tribunale, dalla Commissione nella decisione impugnata – creati dalla misura di cui trattasi per le emittenti terrestri come Mediaset.</w:t>
      </w:r>
    </w:p>
    <w:p w14:paraId="1CED13C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3" w:name="point64"/>
      <w:r>
        <w:rPr>
          <w:rFonts w:ascii="Arial" w:hAnsi="Arial" w:cs="Arial"/>
          <w:color w:val="000000"/>
          <w:sz w:val="22"/>
          <w:szCs w:val="22"/>
        </w:rPr>
        <w:t>64</w:t>
      </w:r>
      <w:r>
        <w:rPr>
          <w:rStyle w:val="apple-converted-space"/>
          <w:rFonts w:ascii="Arial" w:hAnsi="Arial" w:cs="Arial"/>
          <w:color w:val="000000"/>
          <w:sz w:val="22"/>
          <w:szCs w:val="22"/>
        </w:rPr>
        <w:t> </w:t>
      </w:r>
      <w:bookmarkEnd w:id="63"/>
      <w:r>
        <w:rPr>
          <w:rFonts w:ascii="Arial" w:hAnsi="Arial" w:cs="Arial"/>
          <w:color w:val="000000"/>
          <w:sz w:val="22"/>
          <w:szCs w:val="22"/>
        </w:rPr>
        <w:t>In particolare, il Tribunale ha sottolineato che la creazione di un pubblico, che è facilitata dalla misura in questione, rappresenta una parte cruciale dell'attività delle emittenti televisive. Il Tribunale ha inoltre osservato che la misura in questione offriva un incentivo ai consumatori a passare dalla modalità analogica a quella digitale terrestre, limitando al contempo i costi che le emittenti televisive digitali terrestri dovevano sostenere, e ha permesso a quelle stesse emittenti di consolidare la loro posizione esistente sul mercato - rispetto alla posizione di nuovi concorrenti - in termini di immagine del marchio e fidelizzazione dei clienti.</w:t>
      </w:r>
    </w:p>
    <w:p w14:paraId="4E1BF4F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4" w:name="point65"/>
      <w:r>
        <w:rPr>
          <w:rFonts w:ascii="Arial" w:hAnsi="Arial" w:cs="Arial"/>
          <w:color w:val="000000"/>
          <w:sz w:val="22"/>
          <w:szCs w:val="22"/>
        </w:rPr>
        <w:t>65</w:t>
      </w:r>
      <w:r>
        <w:rPr>
          <w:rStyle w:val="apple-converted-space"/>
          <w:rFonts w:ascii="Arial" w:hAnsi="Arial" w:cs="Arial"/>
          <w:color w:val="000000"/>
          <w:sz w:val="22"/>
          <w:szCs w:val="22"/>
        </w:rPr>
        <w:t> </w:t>
      </w:r>
      <w:bookmarkEnd w:id="64"/>
      <w:r>
        <w:rPr>
          <w:rFonts w:ascii="Arial" w:hAnsi="Arial" w:cs="Arial"/>
          <w:color w:val="000000"/>
          <w:sz w:val="22"/>
          <w:szCs w:val="22"/>
        </w:rPr>
        <w:t>Per quanto riguarda la tesi, invocata da Mediaset, che solo i decodificatori digitali che utilizzano una tecnologia "aperta" erano ammissibili al sussidio previsto dalla misura in questione, con il risultato che nessun decoder satellitare digitale disponibile sul mercato al momento del materiale poteva qualificarsi perché tutti tali decoder utilizzavano la tecnologia "chiusa" e "proprietario", il che non Basti osservare che la misura in questione rimane ancora selettiva perché consente la concessione di una sovvenzione ai decodificatori terrestri digitali che utilizzano una tecnologia "aperta", pur escludendo da tale sovvenzione i decodificatori satellitari digitali che utilizzano tale tecnologia. Come giustamente sottolinea la Commissione, è impossibile sapere quale scelta commerciale sarebbero state fatte dalle emittenti satellitari, come Sky Italia, in relazione all'uso della tecnologia "aperta" o "chiusa", se i decodificatori satellitari digitali che utilizzano standard "aperti" fossero stati in grado di beneficiare di tale sovvenzione.</w:t>
      </w:r>
    </w:p>
    <w:p w14:paraId="2191420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5" w:name="point66"/>
      <w:r>
        <w:rPr>
          <w:rFonts w:ascii="Arial" w:hAnsi="Arial" w:cs="Arial"/>
          <w:color w:val="000000"/>
          <w:sz w:val="22"/>
          <w:szCs w:val="22"/>
        </w:rPr>
        <w:t>66</w:t>
      </w:r>
      <w:r>
        <w:rPr>
          <w:rStyle w:val="apple-converted-space"/>
          <w:rFonts w:ascii="Arial" w:hAnsi="Arial" w:cs="Arial"/>
          <w:color w:val="000000"/>
          <w:sz w:val="22"/>
          <w:szCs w:val="22"/>
        </w:rPr>
        <w:t> </w:t>
      </w:r>
      <w:bookmarkEnd w:id="65"/>
      <w:r>
        <w:rPr>
          <w:rFonts w:ascii="Arial" w:hAnsi="Arial" w:cs="Arial"/>
          <w:color w:val="000000"/>
          <w:sz w:val="22"/>
          <w:szCs w:val="22"/>
        </w:rPr>
        <w:t>Da quanto precede risulta che il terzo motivo di ricorso deve essere respinto.</w:t>
      </w:r>
    </w:p>
    <w:p w14:paraId="5C9EFD61"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quarto motivo di ricorso: errore di diritto nell'interpretazione e nell'applicazione dell'articolo 87, paragrafo 1, CE</w:t>
      </w:r>
    </w:p>
    <w:p w14:paraId="5A6B4F39"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61CB278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6" w:name="point67"/>
      <w:r>
        <w:rPr>
          <w:rFonts w:ascii="Arial" w:hAnsi="Arial" w:cs="Arial"/>
          <w:color w:val="000000"/>
          <w:sz w:val="22"/>
          <w:szCs w:val="22"/>
        </w:rPr>
        <w:t>67</w:t>
      </w:r>
      <w:r>
        <w:rPr>
          <w:rStyle w:val="apple-converted-space"/>
          <w:rFonts w:ascii="Arial" w:hAnsi="Arial" w:cs="Arial"/>
          <w:color w:val="000000"/>
          <w:sz w:val="22"/>
          <w:szCs w:val="22"/>
        </w:rPr>
        <w:t> </w:t>
      </w:r>
      <w:bookmarkEnd w:id="66"/>
      <w:r>
        <w:rPr>
          <w:rFonts w:ascii="Arial" w:hAnsi="Arial" w:cs="Arial"/>
          <w:color w:val="000000"/>
          <w:sz w:val="22"/>
          <w:szCs w:val="22"/>
        </w:rPr>
        <w:t>Mediaset sostiene, in primo luogo, che il Tribunale ha commesso un errore di diritto nell'interpretazione e nell'applicazione dell'articolo 87, paragrafo 1, CE nella misura in cui ha approvato la conclusione adottata dalla Commissione secondo cui la misura in questione conferisce un vantaggio economico a Mediaset, anche se tale conclusione si basava su semplici ipotesi puramente astratte e totalmente prive di qualsiasi prova che la misura in questione Mediaset sostiene che il Tribunale ha anche commesso un errore nel constatare, al punto 65 della sentenza impugnata, che il prezzo di un decodificatore è un fattore decisivo nella scelta dei consumatori. Il Tribunale avrebbe dovuto esaminare gli effetti reali della misura in questione, piuttosto che limitarsi a ripetere l’analisi della Commissione del presunto, ma infondato, significato del prezzo dei decodificatori come criterio che determina la scelta dei consumatori e del legame tra la misura in questione e la penetrazione a basso costo del mercato della pay-TV.</w:t>
      </w:r>
    </w:p>
    <w:p w14:paraId="49B76BF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7" w:name="point68"/>
      <w:r>
        <w:rPr>
          <w:rFonts w:ascii="Arial" w:hAnsi="Arial" w:cs="Arial"/>
          <w:color w:val="000000"/>
          <w:sz w:val="22"/>
          <w:szCs w:val="22"/>
        </w:rPr>
        <w:t>68</w:t>
      </w:r>
      <w:r>
        <w:rPr>
          <w:rStyle w:val="apple-converted-space"/>
          <w:rFonts w:ascii="Arial" w:hAnsi="Arial" w:cs="Arial"/>
          <w:color w:val="000000"/>
          <w:sz w:val="22"/>
          <w:szCs w:val="22"/>
        </w:rPr>
        <w:t> </w:t>
      </w:r>
      <w:bookmarkEnd w:id="67"/>
      <w:r>
        <w:rPr>
          <w:rFonts w:ascii="Arial" w:hAnsi="Arial" w:cs="Arial"/>
          <w:color w:val="000000"/>
          <w:sz w:val="22"/>
          <w:szCs w:val="22"/>
        </w:rPr>
        <w:t>Successivamente, Mediaset critica il Tribunale per aver commesso una manifesta distorsione dei fatti accertati nella decisione impugnata, in quanto ha frainteso l'importanza, in tale decisione, del vantaggio per Mediaset del fatto che la misura controversa le consentiva presumibilmente di accedere, a condizioni particolarmente favorevoli, in particolare al mercato della pay-TV, che ha distorto la concorrenza in tale mercato. Mediaset contesta in ogni caso tale analisi da parte della Commissione, ma afferma, in questo contesto, che il Tribunale, a causa della sua lettura errata della decisione impugnata, ha sostituito il proprio ragionamento a quello adottato dalla Commissione e ha ulteriormente commesso un errore nella sua motivazione.</w:t>
      </w:r>
    </w:p>
    <w:p w14:paraId="1CB6808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8" w:name="point69"/>
      <w:r>
        <w:rPr>
          <w:rFonts w:ascii="Arial" w:hAnsi="Arial" w:cs="Arial"/>
          <w:color w:val="000000"/>
          <w:sz w:val="22"/>
          <w:szCs w:val="22"/>
        </w:rPr>
        <w:t>69</w:t>
      </w:r>
      <w:r>
        <w:rPr>
          <w:rStyle w:val="apple-converted-space"/>
          <w:rFonts w:ascii="Arial" w:hAnsi="Arial" w:cs="Arial"/>
          <w:color w:val="000000"/>
          <w:sz w:val="22"/>
          <w:szCs w:val="22"/>
        </w:rPr>
        <w:t> </w:t>
      </w:r>
      <w:bookmarkEnd w:id="68"/>
      <w:r>
        <w:rPr>
          <w:rFonts w:ascii="Arial" w:hAnsi="Arial" w:cs="Arial"/>
          <w:color w:val="000000"/>
          <w:sz w:val="22"/>
          <w:szCs w:val="22"/>
        </w:rPr>
        <w:t>Infine, Mediaset sostiene che il Tribunale ha frainteso gli argomenti avanzati nella prima parte della sua prima argomentazione. Pertanto, il Tribunale ha erroneamente classificato Mediaset come beneficiario indiretto della misura in questione. Lungi dal contestare che l'aiuto ai consumatori potrebbe mai essere classificato come aiuto di Stato ai sensi dell'articolo 87 CE, Mediaset ha sostenuto in primo luogo che, quando il beneficiario diretto di una sovvenzione è un consumatore, deve essere dimostrato un legame tra tale sovvenzione e il presunto beneficiario indiretto, cosa che la Commissione non è stata in grado di fare nel caso di specie. Mediaset conviene al riferimento del Tribunale, al punto 76 della sentenza impugnata, all'articolo 87, paragrafo 2, lettera a), del trattato CE, affermando che non ha mai affermato che gli aiuti ai consumatori non possano costituire un aiuto indiretto agli operatori economici. La sua argomentazione si riferisce alle condizioni specifiche applicabili a tale categorizzazione.</w:t>
      </w:r>
    </w:p>
    <w:p w14:paraId="206CCC8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69" w:name="point70"/>
      <w:r>
        <w:rPr>
          <w:rFonts w:ascii="Arial" w:hAnsi="Arial" w:cs="Arial"/>
          <w:color w:val="000000"/>
          <w:sz w:val="22"/>
          <w:szCs w:val="22"/>
        </w:rPr>
        <w:t>70</w:t>
      </w:r>
      <w:r>
        <w:rPr>
          <w:rStyle w:val="apple-converted-space"/>
          <w:rFonts w:ascii="Arial" w:hAnsi="Arial" w:cs="Arial"/>
          <w:color w:val="000000"/>
          <w:sz w:val="22"/>
          <w:szCs w:val="22"/>
        </w:rPr>
        <w:t> </w:t>
      </w:r>
      <w:bookmarkEnd w:id="69"/>
      <w:r>
        <w:rPr>
          <w:rFonts w:ascii="Arial" w:hAnsi="Arial" w:cs="Arial"/>
          <w:color w:val="000000"/>
          <w:sz w:val="22"/>
          <w:szCs w:val="22"/>
        </w:rPr>
        <w:t>Secondo la Commissione e Sky Italia, le questioni sul fatto che il sussidio pagato abbiano dato origine a un vantaggio economico a favore delle emittenti digitali terrestri, sotto forma di aumento del pubblico, e se il prezzo di un decodificatore sia un fattore decisivo della scelta dello spettatore sono questioni che rientrano nella valutazione dei fatti. Di conseguenza, gli argomenti di Mediaset in relazione a tali fatti devono essere respinti come inammissibili. Nella misura in cui Mediaset si basa su una «manifesta distorsione dei fatti» da parte del Tribunale in merito all'esistenza di un vantaggio economico a favore di Mediaset, Sky Italia osserva che Mediaset non ha fornito alcuna prova in grado di dimostrare che vi fosse una tale distorsione. In ogni caso, Sky Italia è del parere che il Tribunale abbia esaminato le prove a sostegno dell'esistenza di un vantaggio economico e abbia giustamente concluso che la misura in questione aveva conferito tale vantaggio a Mediaset.</w:t>
      </w:r>
    </w:p>
    <w:p w14:paraId="08EF0D98"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0" w:name="point71"/>
      <w:r>
        <w:rPr>
          <w:rFonts w:ascii="Arial" w:hAnsi="Arial" w:cs="Arial"/>
          <w:color w:val="000000"/>
          <w:sz w:val="22"/>
          <w:szCs w:val="22"/>
        </w:rPr>
        <w:t>71</w:t>
      </w:r>
      <w:r>
        <w:rPr>
          <w:rStyle w:val="apple-converted-space"/>
          <w:rFonts w:ascii="Arial" w:hAnsi="Arial" w:cs="Arial"/>
          <w:color w:val="000000"/>
          <w:sz w:val="22"/>
          <w:szCs w:val="22"/>
        </w:rPr>
        <w:t> </w:t>
      </w:r>
      <w:bookmarkEnd w:id="70"/>
      <w:r>
        <w:rPr>
          <w:rFonts w:ascii="Arial" w:hAnsi="Arial" w:cs="Arial"/>
          <w:color w:val="000000"/>
          <w:sz w:val="22"/>
          <w:szCs w:val="22"/>
        </w:rPr>
        <w:t>Inoltre, anche se il prezzo di un decodificatore non è l'unico elemento che determina la scelta del consumatore, ne consegue, secondo la Commissione, dalla logica economica di base che una riduzione significativa del prezzo del decodificatore avrà l'effetto di aumentare la domanda del servizio per la cui ricezione è necessaria. Sky Italia osserva che la misura in questione ha anche creato un incentivo per i consumatori a passare dalla modalità analogica a quella digitale terrestre, invece di optare per una piattaforma alternativa, come il satellite. La Commissione sostiene che il fatto che il Tribunale abbia menzionato la televisione digitale terrestre in generale e non i servizi di pay-TV in particolare, ai punti 62 e 68 della sentenza impugnata, non mina in alcun modo la validità del suo ragionamento.</w:t>
      </w:r>
    </w:p>
    <w:p w14:paraId="55E93CAF"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1" w:name="point72"/>
      <w:r>
        <w:rPr>
          <w:rFonts w:ascii="Arial" w:hAnsi="Arial" w:cs="Arial"/>
          <w:color w:val="000000"/>
          <w:sz w:val="22"/>
          <w:szCs w:val="22"/>
        </w:rPr>
        <w:t>72</w:t>
      </w:r>
      <w:r>
        <w:rPr>
          <w:rStyle w:val="apple-converted-space"/>
          <w:rFonts w:ascii="Arial" w:hAnsi="Arial" w:cs="Arial"/>
          <w:color w:val="000000"/>
          <w:sz w:val="22"/>
          <w:szCs w:val="22"/>
        </w:rPr>
        <w:t> </w:t>
      </w:r>
      <w:bookmarkEnd w:id="71"/>
      <w:r>
        <w:rPr>
          <w:rFonts w:ascii="Arial" w:hAnsi="Arial" w:cs="Arial"/>
          <w:color w:val="000000"/>
          <w:sz w:val="22"/>
          <w:szCs w:val="22"/>
        </w:rPr>
        <w:t>La Commissione afferma di non comprendere lo scopo delle argomentazioni di Mediaset riguardanti il concetto di beneficiario indiretto. Essa osserva che Mediaset non sembra più contestare il fatto che gli aiuti ai consumatori possano costituire un aiuto di Stato, a causa del fatto che avvantaggia anche le imprese che ne sono beneficiari indiretti. Per quanto riguarda l’argomentazione di Mediaset che mette in discussione la pertinenza dell’articolo 87, paragrafo 2, lettera a), CE, la Commissione afferma che, come risulta dal punto 76 della sentenza impugnata, tale disposizione sarebbe superflua se, come affermato in primo grado dalla ricorrente, l’aiuto ai consumatori non potesse mai essere considerato un aiuto di Stato ai sensi dell’articolo 87, paragrafo</w:t>
      </w:r>
    </w:p>
    <w:p w14:paraId="6FC9F5D0"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31E8308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2" w:name="point73"/>
      <w:r>
        <w:rPr>
          <w:rFonts w:ascii="Arial" w:hAnsi="Arial" w:cs="Arial"/>
          <w:color w:val="000000"/>
          <w:sz w:val="22"/>
          <w:szCs w:val="22"/>
        </w:rPr>
        <w:t>73</w:t>
      </w:r>
      <w:r>
        <w:rPr>
          <w:rStyle w:val="apple-converted-space"/>
          <w:rFonts w:ascii="Arial" w:hAnsi="Arial" w:cs="Arial"/>
          <w:color w:val="000000"/>
          <w:sz w:val="22"/>
          <w:szCs w:val="22"/>
        </w:rPr>
        <w:t> </w:t>
      </w:r>
      <w:bookmarkEnd w:id="72"/>
      <w:r>
        <w:rPr>
          <w:rFonts w:ascii="Arial" w:hAnsi="Arial" w:cs="Arial"/>
          <w:color w:val="000000"/>
          <w:sz w:val="22"/>
          <w:szCs w:val="22"/>
        </w:rPr>
        <w:t>Come risulta dall'articolo 58 dello statuto della Corte di giustizia dell'Unione europea, un ricorso deve essere limitato alle questioni di diritto. Il Tribunale di base è quindi di esclusiva competenza per stabilire e valutare i fatti pertinenti e per valutare le prove, tranne nel caso in cui tali fatti e prove siano stati distorti (v., in tal senso, causa C</w:t>
      </w:r>
      <w:r>
        <w:rPr>
          <w:rFonts w:ascii="Cambria Math" w:hAnsi="Cambria Math" w:cs="Cambria Math"/>
          <w:color w:val="000000"/>
          <w:sz w:val="22"/>
          <w:szCs w:val="22"/>
        </w:rPr>
        <w:t>‐</w:t>
      </w:r>
      <w:r>
        <w:rPr>
          <w:rFonts w:ascii="Arial" w:hAnsi="Arial" w:cs="Arial"/>
          <w:color w:val="000000"/>
          <w:sz w:val="22"/>
          <w:szCs w:val="22"/>
        </w:rPr>
        <w:t>136/92 P</w:t>
      </w:r>
      <w:r>
        <w:rPr>
          <w:rStyle w:val="apple-converted-space"/>
          <w:rFonts w:ascii="Arial" w:hAnsi="Arial" w:cs="Arial"/>
          <w:color w:val="000000"/>
          <w:sz w:val="22"/>
          <w:szCs w:val="22"/>
        </w:rPr>
        <w:t> </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contro</w:t>
      </w:r>
      <w:r>
        <w:rPr>
          <w:rStyle w:val="apple-converted-space"/>
          <w:rFonts w:ascii="Arial" w:hAnsi="Arial" w:cs="Arial"/>
          <w:color w:val="000000"/>
          <w:sz w:val="22"/>
          <w:szCs w:val="22"/>
        </w:rPr>
        <w:t> </w:t>
      </w:r>
      <w:r>
        <w:rPr>
          <w:rFonts w:ascii="Arial" w:hAnsi="Arial" w:cs="Arial"/>
          <w:i/>
          <w:iCs/>
          <w:color w:val="000000"/>
          <w:sz w:val="22"/>
          <w:szCs w:val="22"/>
        </w:rPr>
        <w:t>Brazzelli Lualdi e a.</w:t>
      </w:r>
      <w:r>
        <w:rPr>
          <w:rStyle w:val="apple-converted-space"/>
          <w:rFonts w:ascii="Arial" w:hAnsi="Arial" w:cs="Arial"/>
          <w:i/>
          <w:iCs/>
          <w:color w:val="000000"/>
          <w:sz w:val="22"/>
          <w:szCs w:val="22"/>
        </w:rPr>
        <w:t> </w:t>
      </w:r>
      <w:r>
        <w:rPr>
          <w:rFonts w:ascii="Arial" w:hAnsi="Arial" w:cs="Arial"/>
          <w:color w:val="000000"/>
          <w:sz w:val="22"/>
          <w:szCs w:val="22"/>
        </w:rPr>
        <w:t>[1994] Racc. I</w:t>
      </w:r>
      <w:r>
        <w:rPr>
          <w:rFonts w:ascii="Cambria Math" w:hAnsi="Cambria Math" w:cs="Cambria Math"/>
          <w:color w:val="000000"/>
          <w:sz w:val="22"/>
          <w:szCs w:val="22"/>
        </w:rPr>
        <w:t>‐</w:t>
      </w:r>
      <w:r>
        <w:rPr>
          <w:rFonts w:ascii="Arial" w:hAnsi="Arial" w:cs="Arial"/>
          <w:color w:val="000000"/>
          <w:sz w:val="22"/>
          <w:szCs w:val="22"/>
        </w:rPr>
        <w:t>1981, punti 49 e 66; cause riunit</w:t>
      </w:r>
    </w:p>
    <w:p w14:paraId="3399E67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3" w:name="point74"/>
      <w:r>
        <w:rPr>
          <w:rFonts w:ascii="Arial" w:hAnsi="Arial" w:cs="Arial"/>
          <w:color w:val="000000"/>
          <w:sz w:val="22"/>
          <w:szCs w:val="22"/>
        </w:rPr>
        <w:t>74</w:t>
      </w:r>
      <w:r>
        <w:rPr>
          <w:rStyle w:val="apple-converted-space"/>
          <w:rFonts w:ascii="Arial" w:hAnsi="Arial" w:cs="Arial"/>
          <w:color w:val="000000"/>
          <w:sz w:val="22"/>
          <w:szCs w:val="22"/>
        </w:rPr>
        <w:t> </w:t>
      </w:r>
      <w:bookmarkEnd w:id="73"/>
      <w:r>
        <w:rPr>
          <w:rFonts w:ascii="Arial" w:hAnsi="Arial" w:cs="Arial"/>
          <w:color w:val="000000"/>
          <w:sz w:val="22"/>
          <w:szCs w:val="22"/>
        </w:rPr>
        <w:t>Nella misura in cui la critica di Mediaset al Tribunale è che quest’ultimo ha approvato la conclusione della Commissione secondo cui la misura in questione conferisce un vantaggio economico a Mediaset, quando tale conclusione si basava su semplici ipotesi, è sufficiente affermare che Mediaset sta mettendo in discussione le conclusioni di fatto che sono di competenza esclusiva del Tribunale. Questioni come se la misura in questione abbia permesso la creazione di pubblico e la penetrazione del mercato a basso costo, se il prezzo di un decodificatore è un fattore determinante nella scelta della piattaforma da parte dei consumatori e se esiste un legame tra la misura in questione e la penetrazione a basso costo del mercato della pay-TV sono questioni che rientrano nella valutazione dei fatti da parte del Tribunale.</w:t>
      </w:r>
    </w:p>
    <w:p w14:paraId="322BF52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4" w:name="point75"/>
      <w:r>
        <w:rPr>
          <w:rFonts w:ascii="Arial" w:hAnsi="Arial" w:cs="Arial"/>
          <w:color w:val="000000"/>
          <w:sz w:val="22"/>
          <w:szCs w:val="22"/>
        </w:rPr>
        <w:t>75</w:t>
      </w:r>
      <w:r>
        <w:rPr>
          <w:rStyle w:val="apple-converted-space"/>
          <w:rFonts w:ascii="Arial" w:hAnsi="Arial" w:cs="Arial"/>
          <w:color w:val="000000"/>
          <w:sz w:val="22"/>
          <w:szCs w:val="22"/>
        </w:rPr>
        <w:t> </w:t>
      </w:r>
      <w:bookmarkEnd w:id="74"/>
      <w:r>
        <w:rPr>
          <w:rFonts w:ascii="Arial" w:hAnsi="Arial" w:cs="Arial"/>
          <w:color w:val="000000"/>
          <w:sz w:val="22"/>
          <w:szCs w:val="22"/>
        </w:rPr>
        <w:t>Inoltre, come risulta dai punti da 10 a 13 della sentenza impugnata, la Commissione ha ritenuto, nella decisione impugnata, che la concessione da parte della Repubblica italiana di una sovvenzione per l'acquisto, nel 2004 e nel 2005, di taluni decodificatori digitali terrestri costituisse un aiuto di Stato ai sensi dell'articolo 87, paragrafo 1, CE, alle emittenti digitali terrestri che offrono servizi di pay Di conseguenza, il campo di applicazione della constatazione, all'articolo 1 della decisione impugnata, dell'esistenza di un aiuto incompatibile con il mercato comune e, pertanto, del campo di applicazione della sentenza impugnata stessa, si estende solo al vantaggio economico creato per tali specifici beneficiari.</w:t>
      </w:r>
    </w:p>
    <w:p w14:paraId="5B694F7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5" w:name="point76"/>
      <w:r>
        <w:rPr>
          <w:rFonts w:ascii="Arial" w:hAnsi="Arial" w:cs="Arial"/>
          <w:color w:val="000000"/>
          <w:sz w:val="22"/>
          <w:szCs w:val="22"/>
        </w:rPr>
        <w:t>76</w:t>
      </w:r>
      <w:r>
        <w:rPr>
          <w:rStyle w:val="apple-converted-space"/>
          <w:rFonts w:ascii="Arial" w:hAnsi="Arial" w:cs="Arial"/>
          <w:color w:val="000000"/>
          <w:sz w:val="22"/>
          <w:szCs w:val="22"/>
        </w:rPr>
        <w:t> </w:t>
      </w:r>
      <w:bookmarkEnd w:id="75"/>
      <w:r>
        <w:rPr>
          <w:rFonts w:ascii="Arial" w:hAnsi="Arial" w:cs="Arial"/>
          <w:color w:val="000000"/>
          <w:sz w:val="22"/>
          <w:szCs w:val="22"/>
        </w:rPr>
        <w:t>Ne consegue che, poiché il Tribunale, ai punti da 62 a 68 della sentenza impugnata, ha analizzato la questione se la misura in questione abbia creato un vantaggio per le emittenti terrestri come la ricorrente, tale esame deve necessariamente essere interpretato nel senso specifico relativo al vantaggio conferito alle emittenti terrestri che offrono servizi di pay-TV. Il fatto che tale interpretazione della sentenza impugnata sia corretta è confermato dal riferimento, al punto 62 di tale sentenza, ai considerando da 82 a 95 della decisione impugnata, in cui l’analisi della Commissione è effettivamente incentrata sul mercato dei servizi di televisione a pagamento. Inoltre, non vi è nulla nell'analisi fatta ai punti da 62 a 68 della sentenza impugnata che impedisse tale interpretazione.</w:t>
      </w:r>
    </w:p>
    <w:p w14:paraId="721A175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6" w:name="point77"/>
      <w:r>
        <w:rPr>
          <w:rFonts w:ascii="Arial" w:hAnsi="Arial" w:cs="Arial"/>
          <w:color w:val="000000"/>
          <w:sz w:val="22"/>
          <w:szCs w:val="22"/>
        </w:rPr>
        <w:t>77</w:t>
      </w:r>
      <w:r>
        <w:rPr>
          <w:rStyle w:val="apple-converted-space"/>
          <w:rFonts w:ascii="Arial" w:hAnsi="Arial" w:cs="Arial"/>
          <w:color w:val="000000"/>
          <w:sz w:val="22"/>
          <w:szCs w:val="22"/>
        </w:rPr>
        <w:t> </w:t>
      </w:r>
      <w:bookmarkEnd w:id="76"/>
      <w:r>
        <w:rPr>
          <w:rFonts w:ascii="Arial" w:hAnsi="Arial" w:cs="Arial"/>
          <w:color w:val="000000"/>
          <w:sz w:val="22"/>
          <w:szCs w:val="22"/>
        </w:rPr>
        <w:t>In tali circostanze, l'argomentazione secondo la quale Mediaset critica il Tribunale per aver manifestamente distorto i fatti accertati nella decisione impugnata, sulla base del fatto che ha frainteso il significato del vantaggio per Mediaset rappresentato dal fatto che la misura controversa le consentiva presumibilmente di accedere specificamente al mercato della pay-TV, deve essere respinta. L'analisi effettuata ai punti da 62 a 68 della sentenza impugnata riguarda proprio tale mercato.</w:t>
      </w:r>
    </w:p>
    <w:p w14:paraId="6DFF3F2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7" w:name="point78"/>
      <w:r>
        <w:rPr>
          <w:rFonts w:ascii="Arial" w:hAnsi="Arial" w:cs="Arial"/>
          <w:color w:val="000000"/>
          <w:sz w:val="22"/>
          <w:szCs w:val="22"/>
        </w:rPr>
        <w:t>78</w:t>
      </w:r>
      <w:r>
        <w:rPr>
          <w:rStyle w:val="apple-converted-space"/>
          <w:rFonts w:ascii="Arial" w:hAnsi="Arial" w:cs="Arial"/>
          <w:color w:val="000000"/>
          <w:sz w:val="22"/>
          <w:szCs w:val="22"/>
        </w:rPr>
        <w:t> </w:t>
      </w:r>
      <w:bookmarkEnd w:id="77"/>
      <w:r>
        <w:rPr>
          <w:rFonts w:ascii="Arial" w:hAnsi="Arial" w:cs="Arial"/>
          <w:color w:val="000000"/>
          <w:sz w:val="22"/>
          <w:szCs w:val="22"/>
        </w:rPr>
        <w:t>Infine, nella misura in cui Mediaset sostiene che il Tribunale ha frainteso gli argomenti avanzati nella prima parte del suo primo motivo in primo grado, è opportuno citare in primo grado la formulazione della parte pertinente della sua domanda. Al paragrafo 23 di tale domanda, Mediaset ha dichiarato che «non contesta il fatto che ... una misura di aiuto di Stato può in alcune circostanze conferire un vantaggio direttamente al beneficiario o indirettamente attraverso un terzo», ma che «il trattamento giuridico dei beneficiari indiretti dovrebbe differire qualora il beneficio diretto sia conferito ai singoli consumatori piuttosto che alle imprese». Al punto 26 di tale domanda, Mediaset ha spiegato la differenza di trattamento sostenendo che «quando i beneficiari diretti e primari non svolgono un'attività economica e in particolare sono consumatori finali, allora la misura non rientra nell'ambito dell'articolo 87, paragrafo 1, CE in primo luogo».</w:t>
      </w:r>
    </w:p>
    <w:p w14:paraId="7426721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8" w:name="point79"/>
      <w:r>
        <w:rPr>
          <w:rFonts w:ascii="Arial" w:hAnsi="Arial" w:cs="Arial"/>
          <w:color w:val="000000"/>
          <w:sz w:val="22"/>
          <w:szCs w:val="22"/>
        </w:rPr>
        <w:t>79</w:t>
      </w:r>
      <w:r>
        <w:rPr>
          <w:rStyle w:val="apple-converted-space"/>
          <w:rFonts w:ascii="Arial" w:hAnsi="Arial" w:cs="Arial"/>
          <w:color w:val="000000"/>
          <w:sz w:val="22"/>
          <w:szCs w:val="22"/>
        </w:rPr>
        <w:t> </w:t>
      </w:r>
      <w:bookmarkEnd w:id="78"/>
      <w:r>
        <w:rPr>
          <w:rFonts w:ascii="Arial" w:hAnsi="Arial" w:cs="Arial"/>
          <w:color w:val="000000"/>
          <w:sz w:val="22"/>
          <w:szCs w:val="22"/>
        </w:rPr>
        <w:t>Tali citazioni sono sufficienti a confutare l’argomentazione di Mediaset secondo cui aveva affermato in primo luogo che, qualora il beneficiario diretto di una sovvenzione è un consumatore, deve essere dimostrato un legame tra tale sovvenzione e il presunto beneficiario indiretto, un legame che la Commissione non ha stabilito nel caso di specie. Questi costituiscono anche un motivo sufficiente per respingere l’argomentazione di Mediaset che conva contestato il riferimento formulato dal Tribunale, al punto 76 della sentenza impugnata, all’articolo 87, paragrafo 2, lettera a), CE, in quanto non ha mai affermato che gli aiuti ai consumatori non possono costituire aiuti indiretti agli operatori economici.</w:t>
      </w:r>
    </w:p>
    <w:p w14:paraId="01F3BBB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79" w:name="point80"/>
      <w:r>
        <w:rPr>
          <w:rFonts w:ascii="Arial" w:hAnsi="Arial" w:cs="Arial"/>
          <w:color w:val="000000"/>
          <w:sz w:val="22"/>
          <w:szCs w:val="22"/>
        </w:rPr>
        <w:t>80</w:t>
      </w:r>
      <w:r>
        <w:rPr>
          <w:rStyle w:val="apple-converted-space"/>
          <w:rFonts w:ascii="Arial" w:hAnsi="Arial" w:cs="Arial"/>
          <w:color w:val="000000"/>
          <w:sz w:val="22"/>
          <w:szCs w:val="22"/>
        </w:rPr>
        <w:t> </w:t>
      </w:r>
      <w:bookmarkEnd w:id="79"/>
      <w:r>
        <w:rPr>
          <w:rFonts w:ascii="Arial" w:hAnsi="Arial" w:cs="Arial"/>
          <w:color w:val="000000"/>
          <w:sz w:val="22"/>
          <w:szCs w:val="22"/>
        </w:rPr>
        <w:t>È chiaro dai passaggi della domanda di primo grado citata al punto 78 della presente sentenza che l’argomentazione di Mediaset nella domanda consisteva proprio nell’affermazione secondo cui l’aiuto di cui i beneficiari diretti sono consumatori non può costituire in nessun caso un aiuto indiretto agli operatori economici, con il risultato che la natura del legame tra tale aiuto e il presunto beneficiario indiretto non è rilevante</w:t>
      </w:r>
    </w:p>
    <w:p w14:paraId="7E76245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0" w:name="point81"/>
      <w:r>
        <w:rPr>
          <w:rFonts w:ascii="Arial" w:hAnsi="Arial" w:cs="Arial"/>
          <w:color w:val="000000"/>
          <w:sz w:val="22"/>
          <w:szCs w:val="22"/>
        </w:rPr>
        <w:t>81</w:t>
      </w:r>
      <w:r>
        <w:rPr>
          <w:rStyle w:val="apple-converted-space"/>
          <w:rFonts w:ascii="Arial" w:hAnsi="Arial" w:cs="Arial"/>
          <w:color w:val="000000"/>
          <w:sz w:val="22"/>
          <w:szCs w:val="22"/>
        </w:rPr>
        <w:t> </w:t>
      </w:r>
      <w:bookmarkEnd w:id="80"/>
      <w:r>
        <w:rPr>
          <w:rFonts w:ascii="Arial" w:hAnsi="Arial" w:cs="Arial"/>
          <w:color w:val="000000"/>
          <w:sz w:val="22"/>
          <w:szCs w:val="22"/>
        </w:rPr>
        <w:t>In tali circostanze, il Tribunale ha compreso correttamente le argomentazioni di Mediaset così come sono state stabilite nella domanda in primo grado. Inoltre, il Tribunale non ha commesso un errore giuridico nel respingerli, ai punti 75 e 76 della sentenza impugnata, in quanto gli aiuti i beneficiari diretti di cui sono consumatori possono tuttavia costituire un aiuto indiretto agli operatori economici. Come affermato dal Tribunale al punto 76 della sua sentenza, l'articolo 87, paragrafo 2, lettera a), del trattato CE sarebbe superfluo se gli aiuti concessi ai singoli consumatori non potessero mai costituire un aiuto di Stato perché, in tal caso, la questione della sua compatibilità con il mercato comune non sorgerebbe mai.</w:t>
      </w:r>
    </w:p>
    <w:p w14:paraId="155CFFE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1" w:name="point82"/>
      <w:r>
        <w:rPr>
          <w:rFonts w:ascii="Arial" w:hAnsi="Arial" w:cs="Arial"/>
          <w:color w:val="000000"/>
          <w:sz w:val="22"/>
          <w:szCs w:val="22"/>
        </w:rPr>
        <w:t>82</w:t>
      </w:r>
      <w:r>
        <w:rPr>
          <w:rStyle w:val="apple-converted-space"/>
          <w:rFonts w:ascii="Arial" w:hAnsi="Arial" w:cs="Arial"/>
          <w:color w:val="000000"/>
          <w:sz w:val="22"/>
          <w:szCs w:val="22"/>
        </w:rPr>
        <w:t> </w:t>
      </w:r>
      <w:bookmarkEnd w:id="81"/>
      <w:r>
        <w:rPr>
          <w:rFonts w:ascii="Arial" w:hAnsi="Arial" w:cs="Arial"/>
          <w:color w:val="000000"/>
          <w:sz w:val="22"/>
          <w:szCs w:val="22"/>
        </w:rPr>
        <w:t>Per il resto, Mediaset si è limitata, al paragrafo 27 della sua domanda in primo grado, a condire l'esclusione di altri beneficiari indiretti, compresi i produttori di decodificatori e le emittenti digitali terrestri che non offrono servizi di pay-TV. Il Tribunale aveva il diritto di respingere tale argomento in quanto inefficace ai punti 77 e 78 della sentenza impugnata, in quanto non poteva, anche se stabilito, incidere sulla conclusione secondo cui Mediaset aveva indirettamente beneficiato di una sovvenzione selettiva.</w:t>
      </w:r>
    </w:p>
    <w:p w14:paraId="2BD28A8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2" w:name="point83"/>
      <w:r>
        <w:rPr>
          <w:rFonts w:ascii="Arial" w:hAnsi="Arial" w:cs="Arial"/>
          <w:color w:val="000000"/>
          <w:sz w:val="22"/>
          <w:szCs w:val="22"/>
        </w:rPr>
        <w:t>83</w:t>
      </w:r>
      <w:r>
        <w:rPr>
          <w:rStyle w:val="apple-converted-space"/>
          <w:rFonts w:ascii="Arial" w:hAnsi="Arial" w:cs="Arial"/>
          <w:color w:val="000000"/>
          <w:sz w:val="22"/>
          <w:szCs w:val="22"/>
        </w:rPr>
        <w:t> </w:t>
      </w:r>
      <w:bookmarkEnd w:id="82"/>
      <w:r>
        <w:rPr>
          <w:rFonts w:ascii="Arial" w:hAnsi="Arial" w:cs="Arial"/>
          <w:color w:val="000000"/>
          <w:sz w:val="22"/>
          <w:szCs w:val="22"/>
        </w:rPr>
        <w:t>Alla luce di quanto sopra, il quarto motivo di ricorso deve essere respinto.</w:t>
      </w:r>
    </w:p>
    <w:p w14:paraId="471A1532"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quinto motivo di impugnazione: errore di diritto nell'applicazione dell'articolo 87, paragrafo 3, lettera c), CE e mancata motivazione, in quanto il Tribunale non ha trattato tutti i motivi pertinenti sollevati da Mediaset in primo grado</w:t>
      </w:r>
    </w:p>
    <w:p w14:paraId="4EABEE10"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34D8BFE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3" w:name="point84"/>
      <w:r>
        <w:rPr>
          <w:rFonts w:ascii="Arial" w:hAnsi="Arial" w:cs="Arial"/>
          <w:color w:val="000000"/>
          <w:sz w:val="22"/>
          <w:szCs w:val="22"/>
        </w:rPr>
        <w:t>84</w:t>
      </w:r>
      <w:r>
        <w:rPr>
          <w:rStyle w:val="apple-converted-space"/>
          <w:rFonts w:ascii="Arial" w:hAnsi="Arial" w:cs="Arial"/>
          <w:color w:val="000000"/>
          <w:sz w:val="22"/>
          <w:szCs w:val="22"/>
        </w:rPr>
        <w:t> </w:t>
      </w:r>
      <w:bookmarkEnd w:id="83"/>
      <w:r>
        <w:rPr>
          <w:rFonts w:ascii="Arial" w:hAnsi="Arial" w:cs="Arial"/>
          <w:color w:val="000000"/>
          <w:sz w:val="22"/>
          <w:szCs w:val="22"/>
        </w:rPr>
        <w:t>Mediaset sostiene che il Tribunale ha commesso un errore di diritto nell'applicazione dell'articolo 87, paragrafo 3, lettera c), CE e che la sentenza impugnata è stata viziata dalla mancata motivazione, omettendo di trattare tutti i motivi pertinenti sollevati da Mediaset. In particolare, il Tribunale non ha considerato in primo grado il merito del motivo presentato da Mediaset ai punti da 93 a 96 della domanda, sostenendo un manifesto errore di valutazione da parte della Commissione in quanto ha dichiarato l'aiuto in questione incompatibile con il mercato comune senza valutarne correttamente il contesto economico. In particolare, il Tribunale non ha analizzato «una serie di argomenti importanti elencati al paragrafo 95 della domanda».</w:t>
      </w:r>
    </w:p>
    <w:p w14:paraId="7A47679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4" w:name="point85"/>
      <w:r>
        <w:rPr>
          <w:rFonts w:ascii="Arial" w:hAnsi="Arial" w:cs="Arial"/>
          <w:color w:val="000000"/>
          <w:sz w:val="22"/>
          <w:szCs w:val="22"/>
        </w:rPr>
        <w:t>85</w:t>
      </w:r>
      <w:r>
        <w:rPr>
          <w:rStyle w:val="apple-converted-space"/>
          <w:rFonts w:ascii="Arial" w:hAnsi="Arial" w:cs="Arial"/>
          <w:color w:val="000000"/>
          <w:sz w:val="22"/>
          <w:szCs w:val="22"/>
        </w:rPr>
        <w:t> </w:t>
      </w:r>
      <w:bookmarkEnd w:id="84"/>
      <w:r>
        <w:rPr>
          <w:rFonts w:ascii="Arial" w:hAnsi="Arial" w:cs="Arial"/>
          <w:color w:val="000000"/>
          <w:sz w:val="22"/>
          <w:szCs w:val="22"/>
        </w:rPr>
        <w:t>Né il Tribunale ha valutato il motivo, di cui ai punti da 121 a 129 della domanda in primo grado, sostenendo un manifesto errore di valutazione commesso dalla Commissione a causa del suo esame insufficiente e contraddittorio dei mercati rilevanti e la manifesta contraddizione tra il suo approccio nella decisione impugnata e il suo approccio nella decisione relativa al 2006, che ha anche dato luogo a una violazione del principio di certezza del Mediaset afferma che anche il Tribunale non ha fornito un'adeguata motivazione al riguardo, violando così l'articolo 36 dello statuto della Corte di giustizia.</w:t>
      </w:r>
    </w:p>
    <w:p w14:paraId="205F230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5" w:name="point86"/>
      <w:r>
        <w:rPr>
          <w:rFonts w:ascii="Arial" w:hAnsi="Arial" w:cs="Arial"/>
          <w:color w:val="000000"/>
          <w:sz w:val="22"/>
          <w:szCs w:val="22"/>
        </w:rPr>
        <w:t>86</w:t>
      </w:r>
      <w:r>
        <w:rPr>
          <w:rStyle w:val="apple-converted-space"/>
          <w:rFonts w:ascii="Arial" w:hAnsi="Arial" w:cs="Arial"/>
          <w:color w:val="000000"/>
          <w:sz w:val="22"/>
          <w:szCs w:val="22"/>
        </w:rPr>
        <w:t> </w:t>
      </w:r>
      <w:bookmarkEnd w:id="85"/>
      <w:r>
        <w:rPr>
          <w:rFonts w:ascii="Arial" w:hAnsi="Arial" w:cs="Arial"/>
          <w:color w:val="000000"/>
          <w:sz w:val="22"/>
          <w:szCs w:val="22"/>
        </w:rPr>
        <w:t>La Commissione sostiene che il quinto motivo del ricorso dovrebbe essere respinto, affermando che Mediaset non afferma in modo sufficientemente specifico quale delle sue argomentazioni il Tribunale ha ignorato. Pertanto, questo motivo di ricorso non soddisfa i requisiti per un ricorso, che deve indicare chiaramente i motivi su cui si basa il ricorrente. Per quanto riguarda gli argomenti relativi alla presunta analisi inadeguata del mercato rilevante nel contesto della valutazione della compatibilità dell'aiuto in questione con il mercato comune, la Commissione sostiene, ancora una volta, che questi sono presentati in modo troppo impreciso e devono, per questo motivo, essere respinti in quanto inammissibili. In ogni caso, il Tribunale non ha avuto bisogno di intraprendere un'analisi più dettagliata del mercato rilevante perché l'esclusione ingiustificabile della piattaforma satellitare dal beneficio della misura in questione ha comportato un'inutile distorsione della concorrenza che non poteva essere giustificata da alcun obiettivo legittimo.</w:t>
      </w:r>
    </w:p>
    <w:p w14:paraId="7CCF2BCA"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6" w:name="point87"/>
      <w:r>
        <w:rPr>
          <w:rFonts w:ascii="Arial" w:hAnsi="Arial" w:cs="Arial"/>
          <w:color w:val="000000"/>
          <w:sz w:val="22"/>
          <w:szCs w:val="22"/>
        </w:rPr>
        <w:t>87</w:t>
      </w:r>
      <w:r>
        <w:rPr>
          <w:rStyle w:val="apple-converted-space"/>
          <w:rFonts w:ascii="Arial" w:hAnsi="Arial" w:cs="Arial"/>
          <w:color w:val="000000"/>
          <w:sz w:val="22"/>
          <w:szCs w:val="22"/>
        </w:rPr>
        <w:t> </w:t>
      </w:r>
      <w:bookmarkEnd w:id="86"/>
      <w:r>
        <w:rPr>
          <w:rFonts w:ascii="Arial" w:hAnsi="Arial" w:cs="Arial"/>
          <w:color w:val="000000"/>
          <w:sz w:val="22"/>
          <w:szCs w:val="22"/>
        </w:rPr>
        <w:t>Sky Italia sostiene che, con il quinto motivo di appello, Mediaset chiede alla Corte di rivalutare i fatti e di sostituire la propria valutazione a quella già effettuata dal Tribunale. In ogni caso, poiché Mediaset fa riferimento alle proprie argomentazioni sull'esistenza di un aiuto, la risposta del Tribunale su tale questione fornisce anche una risposta sulla questione della compatibilità dell'aiuto in questione con il mercato comune.</w:t>
      </w:r>
    </w:p>
    <w:p w14:paraId="32CFCE55"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692B66B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7" w:name="point88"/>
      <w:r>
        <w:rPr>
          <w:rFonts w:ascii="Arial" w:hAnsi="Arial" w:cs="Arial"/>
          <w:color w:val="000000"/>
          <w:sz w:val="22"/>
          <w:szCs w:val="22"/>
        </w:rPr>
        <w:t>88</w:t>
      </w:r>
      <w:r>
        <w:rPr>
          <w:rStyle w:val="apple-converted-space"/>
          <w:rFonts w:ascii="Arial" w:hAnsi="Arial" w:cs="Arial"/>
          <w:color w:val="000000"/>
          <w:sz w:val="22"/>
          <w:szCs w:val="22"/>
        </w:rPr>
        <w:t> </w:t>
      </w:r>
      <w:bookmarkEnd w:id="87"/>
      <w:r>
        <w:rPr>
          <w:rFonts w:ascii="Arial" w:hAnsi="Arial" w:cs="Arial"/>
          <w:color w:val="000000"/>
          <w:sz w:val="22"/>
          <w:szCs w:val="22"/>
        </w:rPr>
        <w:t>Secondo una giurisprudenza consolidata, l'obbligo per il Tribunale di motivare non richiede che fornisca un resoconto che segua in modo esaustivo, uno dopo l'altro, tutti gli argomenti avanzati dalle parti del caso. Il ragionamento del Tribunale può quindi essere implicito a condizione che consenta alle persone interessate di conoscere il motivo della decisione del Tribunale e fornisca alla Corte di giustizia materiale sufficiente per esercitare il suo potere di controllo (cfr., tra l’altro, la sentenza del 22 maggio 2008 nella causa C</w:t>
      </w:r>
      <w:r>
        <w:rPr>
          <w:rFonts w:ascii="Cambria Math" w:hAnsi="Cambria Math" w:cs="Cambria Math"/>
          <w:color w:val="000000"/>
          <w:sz w:val="22"/>
          <w:szCs w:val="22"/>
        </w:rPr>
        <w:t>‐</w:t>
      </w:r>
      <w:r>
        <w:rPr>
          <w:rFonts w:ascii="Arial" w:hAnsi="Arial" w:cs="Arial"/>
          <w:color w:val="000000"/>
          <w:sz w:val="22"/>
          <w:szCs w:val="22"/>
        </w:rPr>
        <w:t>266/06 P</w:t>
      </w:r>
      <w:r>
        <w:rPr>
          <w:rStyle w:val="apple-converted-space"/>
          <w:rFonts w:ascii="Arial" w:hAnsi="Arial" w:cs="Arial"/>
          <w:color w:val="000000"/>
          <w:sz w:val="22"/>
          <w:szCs w:val="22"/>
        </w:rPr>
        <w:t> </w:t>
      </w:r>
      <w:r>
        <w:rPr>
          <w:rFonts w:ascii="Arial" w:hAnsi="Arial" w:cs="Arial"/>
          <w:i/>
          <w:iCs/>
          <w:color w:val="000000"/>
          <w:sz w:val="22"/>
          <w:szCs w:val="22"/>
        </w:rPr>
        <w:t>Evonik Degussa</w:t>
      </w:r>
      <w:r>
        <w:rPr>
          <w:rFonts w:ascii="Arial" w:hAnsi="Arial" w:cs="Arial"/>
          <w:color w:val="000000"/>
          <w:sz w:val="22"/>
          <w:szCs w:val="22"/>
        </w:rPr>
        <w:t>/</w:t>
      </w:r>
      <w:r>
        <w:rPr>
          <w:rFonts w:ascii="Arial" w:hAnsi="Arial" w:cs="Arial"/>
          <w:i/>
          <w:iCs/>
          <w:color w:val="000000"/>
          <w:sz w:val="22"/>
          <w:szCs w:val="22"/>
        </w:rPr>
        <w:t>Commissione</w:t>
      </w:r>
      <w:r>
        <w:rPr>
          <w:rFonts w:ascii="Arial" w:hAnsi="Arial" w:cs="Arial"/>
          <w:color w:val="000000"/>
          <w:sz w:val="22"/>
          <w:szCs w:val="22"/>
        </w:rPr>
        <w:t>, punto 103; causa C</w:t>
      </w:r>
      <w:r>
        <w:rPr>
          <w:rFonts w:ascii="Cambria Math" w:hAnsi="Cambria Math" w:cs="Cambria Math"/>
          <w:color w:val="000000"/>
          <w:sz w:val="22"/>
          <w:szCs w:val="22"/>
        </w:rPr>
        <w:t>‐</w:t>
      </w:r>
    </w:p>
    <w:p w14:paraId="4110AAD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8" w:name="point89"/>
      <w:r>
        <w:rPr>
          <w:rFonts w:ascii="Arial" w:hAnsi="Arial" w:cs="Arial"/>
          <w:color w:val="000000"/>
          <w:sz w:val="22"/>
          <w:szCs w:val="22"/>
        </w:rPr>
        <w:t>89</w:t>
      </w:r>
      <w:r>
        <w:rPr>
          <w:rStyle w:val="apple-converted-space"/>
          <w:rFonts w:ascii="Arial" w:hAnsi="Arial" w:cs="Arial"/>
          <w:color w:val="000000"/>
          <w:sz w:val="22"/>
          <w:szCs w:val="22"/>
        </w:rPr>
        <w:t> </w:t>
      </w:r>
      <w:bookmarkEnd w:id="88"/>
      <w:r>
        <w:rPr>
          <w:rFonts w:ascii="Arial" w:hAnsi="Arial" w:cs="Arial"/>
          <w:color w:val="000000"/>
          <w:sz w:val="22"/>
          <w:szCs w:val="22"/>
        </w:rPr>
        <w:t>Inoltre, dall'articolo 256 TFUE, dall'articolo 58, primo comma, dello statuto della Corte e dall'articolo 112, paragrafo 1, lettera c), del regolamento di procedura della Corte dedotto che un ricorso deve indicare con precisione gli elementi impugnati della sentenza che la ricorrente chiede di annullare e anche gli argomenti giuridici specificamente avanzati a sostegno dell'appello (causa C</w:t>
      </w:r>
      <w:r>
        <w:rPr>
          <w:rFonts w:ascii="Cambria Math" w:hAnsi="Cambria Math" w:cs="Cambria Math"/>
          <w:color w:val="000000"/>
          <w:sz w:val="22"/>
          <w:szCs w:val="22"/>
        </w:rPr>
        <w:t>‐</w:t>
      </w:r>
      <w:r>
        <w:rPr>
          <w:rFonts w:ascii="Arial" w:hAnsi="Arial" w:cs="Arial"/>
          <w:color w:val="000000"/>
          <w:sz w:val="22"/>
          <w:szCs w:val="22"/>
        </w:rPr>
        <w:t>248/99 P</w:t>
      </w:r>
      <w:r>
        <w:rPr>
          <w:rStyle w:val="apple-converted-space"/>
          <w:rFonts w:ascii="Arial" w:hAnsi="Arial" w:cs="Arial"/>
          <w:color w:val="000000"/>
          <w:sz w:val="22"/>
          <w:szCs w:val="22"/>
        </w:rPr>
        <w:t> </w:t>
      </w:r>
      <w:r>
        <w:rPr>
          <w:rFonts w:ascii="Arial" w:hAnsi="Arial" w:cs="Arial"/>
          <w:color w:val="000000"/>
          <w:sz w:val="22"/>
          <w:szCs w:val="22"/>
        </w:rPr>
        <w:t>Un motivo di ricorso presentato a sostegno di un ricorso in cui il ricorrente non si limita a fare altro che fare riferimento ai suoi argomenti presentati in un altro contesto non soddisfa tale requisito e deve quindi essere respinto come non sufficientemente fondato (ordinanza nella causa C</w:t>
      </w:r>
      <w:r>
        <w:rPr>
          <w:rFonts w:ascii="Cambria Math" w:hAnsi="Cambria Math" w:cs="Cambria Math"/>
          <w:color w:val="000000"/>
          <w:sz w:val="22"/>
          <w:szCs w:val="22"/>
        </w:rPr>
        <w:t>‐</w:t>
      </w:r>
      <w:r>
        <w:rPr>
          <w:rFonts w:ascii="Arial" w:hAnsi="Arial" w:cs="Arial"/>
          <w:color w:val="000000"/>
          <w:sz w:val="22"/>
          <w:szCs w:val="22"/>
        </w:rPr>
        <w:t>51/95 P</w:t>
      </w:r>
      <w:r>
        <w:rPr>
          <w:rStyle w:val="apple-converted-space"/>
          <w:rFonts w:ascii="Arial" w:hAnsi="Arial" w:cs="Arial"/>
          <w:color w:val="000000"/>
          <w:sz w:val="22"/>
          <w:szCs w:val="22"/>
        </w:rPr>
        <w:t> </w:t>
      </w:r>
      <w:r>
        <w:rPr>
          <w:rFonts w:ascii="Arial" w:hAnsi="Arial" w:cs="Arial"/>
          <w:i/>
          <w:iCs/>
          <w:color w:val="000000"/>
          <w:sz w:val="22"/>
          <w:szCs w:val="22"/>
        </w:rPr>
        <w:t>Unifruit Hellas</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[1997] Racc. I-727, punto 33).</w:t>
      </w:r>
    </w:p>
    <w:p w14:paraId="3777AA1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89" w:name="point90"/>
      <w:r>
        <w:rPr>
          <w:rFonts w:ascii="Arial" w:hAnsi="Arial" w:cs="Arial"/>
          <w:color w:val="000000"/>
          <w:sz w:val="22"/>
          <w:szCs w:val="22"/>
        </w:rPr>
        <w:t>90</w:t>
      </w:r>
      <w:r>
        <w:rPr>
          <w:rStyle w:val="apple-converted-space"/>
          <w:rFonts w:ascii="Arial" w:hAnsi="Arial" w:cs="Arial"/>
          <w:color w:val="000000"/>
          <w:sz w:val="22"/>
          <w:szCs w:val="22"/>
        </w:rPr>
        <w:t> </w:t>
      </w:r>
      <w:bookmarkEnd w:id="89"/>
      <w:r>
        <w:rPr>
          <w:rFonts w:ascii="Arial" w:hAnsi="Arial" w:cs="Arial"/>
          <w:color w:val="000000"/>
          <w:sz w:val="22"/>
          <w:szCs w:val="22"/>
        </w:rPr>
        <w:t>Il Tribunale ha osservato, al punto 115 della sentenza impugnata, che le spiegazioni presentate ai punti da 93 a 96 della domanda dinanzi a essa hanno cercato di presentare argomenti a sostegno delle tre parti del secondo motivo. Di conseguenza, il Tribunale ha riclassificato tali argomenti come rientrando nelle tre parti interessate. Ha esaminato esplicitamente due di queste parti, ai punti da 118 a 134 della sentenza impugnata, prima di respingere il secondo motivo nella sua interezza al punto 135 della sentenza.</w:t>
      </w:r>
    </w:p>
    <w:p w14:paraId="04C50AFA"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0" w:name="point91"/>
      <w:r>
        <w:rPr>
          <w:rFonts w:ascii="Arial" w:hAnsi="Arial" w:cs="Arial"/>
          <w:color w:val="000000"/>
          <w:sz w:val="22"/>
          <w:szCs w:val="22"/>
        </w:rPr>
        <w:t>91</w:t>
      </w:r>
      <w:r>
        <w:rPr>
          <w:rStyle w:val="apple-converted-space"/>
          <w:rFonts w:ascii="Arial" w:hAnsi="Arial" w:cs="Arial"/>
          <w:color w:val="000000"/>
          <w:sz w:val="22"/>
          <w:szCs w:val="22"/>
        </w:rPr>
        <w:t> </w:t>
      </w:r>
      <w:bookmarkEnd w:id="90"/>
      <w:r>
        <w:rPr>
          <w:rFonts w:ascii="Arial" w:hAnsi="Arial" w:cs="Arial"/>
          <w:color w:val="000000"/>
          <w:sz w:val="22"/>
          <w:szCs w:val="22"/>
        </w:rPr>
        <w:t>In considerazione di tale riclassificazione, la sentenza impugnata contiene effettivamente una risposta alle argomentazioni avanzate nei punti da 93 a 96 della domanda in primo grado. Stando così le cose, e poiché non vi è alcuna indicazione precisa di quali argomenti specifici il Tribunale avrebbe non tenuto conto, si deve ritenere, in primo luogo, che la motivazione del Tribunale per il rifiuto degli argomenti in tali paragrafi soddisfacesse lo standard giuridico richiesto e, in secondo luogo, che gli argomenti avanzati da Mediaset al riguardo nel suo appello non sono conformi ai requisiti di cui al punto</w:t>
      </w:r>
    </w:p>
    <w:p w14:paraId="1642CB6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1" w:name="point92"/>
      <w:r>
        <w:rPr>
          <w:rFonts w:ascii="Arial" w:hAnsi="Arial" w:cs="Arial"/>
          <w:color w:val="000000"/>
          <w:sz w:val="22"/>
          <w:szCs w:val="22"/>
        </w:rPr>
        <w:t>92</w:t>
      </w:r>
      <w:r>
        <w:rPr>
          <w:rStyle w:val="apple-converted-space"/>
          <w:rFonts w:ascii="Arial" w:hAnsi="Arial" w:cs="Arial"/>
          <w:color w:val="000000"/>
          <w:sz w:val="22"/>
          <w:szCs w:val="22"/>
        </w:rPr>
        <w:t> </w:t>
      </w:r>
      <w:bookmarkEnd w:id="91"/>
      <w:r>
        <w:rPr>
          <w:rFonts w:ascii="Arial" w:hAnsi="Arial" w:cs="Arial"/>
          <w:color w:val="000000"/>
          <w:sz w:val="22"/>
          <w:szCs w:val="22"/>
        </w:rPr>
        <w:t>È inoltre chiaro che il Tribunale non ha dato una risposta esplicita, nell'ambito del suo esame del secondo motivo invocato in primo grado, alle argomentazioni avanzate ai punti da 121 a 129 della domanda, che costituiscono la terza parte di tale motivo, sostenendo un manifesto errore di valutazione e un'analisi inadeguata del mercato rilevante con riferimento al fatto che la misura in questione aveva presumibilmente distorto</w:t>
      </w:r>
    </w:p>
    <w:p w14:paraId="1B81D2D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2" w:name="point93"/>
      <w:r>
        <w:rPr>
          <w:rFonts w:ascii="Arial" w:hAnsi="Arial" w:cs="Arial"/>
          <w:color w:val="000000"/>
          <w:sz w:val="22"/>
          <w:szCs w:val="22"/>
        </w:rPr>
        <w:t>93</w:t>
      </w:r>
      <w:r>
        <w:rPr>
          <w:rStyle w:val="apple-converted-space"/>
          <w:rFonts w:ascii="Arial" w:hAnsi="Arial" w:cs="Arial"/>
          <w:color w:val="000000"/>
          <w:sz w:val="22"/>
          <w:szCs w:val="22"/>
        </w:rPr>
        <w:t> </w:t>
      </w:r>
      <w:bookmarkEnd w:id="92"/>
      <w:r>
        <w:rPr>
          <w:rFonts w:ascii="Arial" w:hAnsi="Arial" w:cs="Arial"/>
          <w:color w:val="000000"/>
          <w:sz w:val="22"/>
          <w:szCs w:val="22"/>
        </w:rPr>
        <w:t>Tuttavia, ai punti da 86 a 111 della sentenza impugnata, il Tribunale ha esaminato in dettaglio, nel contesto del primo motivo relativo a una violazione dell'articolo 87, paragrafo 1, CE, relativo all'esistenza di un aiuto, la quarta parte di tale motivo, sostenendo che non vi era alcuna distorsione della concorrenza. Respingendo la quarta parte del primo motivo nella sua interezza, il Tribunale ha analizzato argomenti sostanzialmente gli stessi di quelli avanzati da Mediaset ai punti da 121 a 129 della sua domanda in primo grado. In particolare, il Tribunale ha esaminato e respinto gli argomenti di Mediaset sulla base della presunta contraddizione tra la decisione impugnata e la decisione relativa al 2006, al punto 99 della sentenza impugnata, nonché gli argomenti a sostegno di una presunta violazione del principio di certezza del diritto, al punto 109 della sentenza, in cui il Tribunale ha espressamente affermato che l’incompatibilità della misura in questione con il mercato</w:t>
      </w:r>
    </w:p>
    <w:p w14:paraId="5E8219D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3" w:name="point94"/>
      <w:r>
        <w:rPr>
          <w:rFonts w:ascii="Arial" w:hAnsi="Arial" w:cs="Arial"/>
          <w:color w:val="000000"/>
          <w:sz w:val="22"/>
          <w:szCs w:val="22"/>
        </w:rPr>
        <w:t>94</w:t>
      </w:r>
      <w:r>
        <w:rPr>
          <w:rStyle w:val="apple-converted-space"/>
          <w:rFonts w:ascii="Arial" w:hAnsi="Arial" w:cs="Arial"/>
          <w:color w:val="000000"/>
          <w:sz w:val="22"/>
          <w:szCs w:val="22"/>
        </w:rPr>
        <w:t> </w:t>
      </w:r>
      <w:bookmarkEnd w:id="93"/>
      <w:r>
        <w:rPr>
          <w:rFonts w:ascii="Arial" w:hAnsi="Arial" w:cs="Arial"/>
          <w:color w:val="000000"/>
          <w:sz w:val="22"/>
          <w:szCs w:val="22"/>
        </w:rPr>
        <w:t>In tali circostanze, la sentenza impugnata contiene infatti una risposta alle argomentazioni relative alla compatibilità della misura in questione con il mercato comune, avanzate nella terza parte del secondo motivo ai punti da 121 a 129 della domanda in primo grado. Dalla lettura della sentenza nel suo complesso risulta che il Tribunale ha effettuato un esame approfondito della questione se la misura in questione abbia causato una distorsione della concorrenza, sollevata da Mediaset negli argomenti in questione.</w:t>
      </w:r>
    </w:p>
    <w:p w14:paraId="4026D6A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4" w:name="point95"/>
      <w:r>
        <w:rPr>
          <w:rFonts w:ascii="Arial" w:hAnsi="Arial" w:cs="Arial"/>
          <w:color w:val="000000"/>
          <w:sz w:val="22"/>
          <w:szCs w:val="22"/>
        </w:rPr>
        <w:t>95</w:t>
      </w:r>
      <w:r>
        <w:rPr>
          <w:rStyle w:val="apple-converted-space"/>
          <w:rFonts w:ascii="Arial" w:hAnsi="Arial" w:cs="Arial"/>
          <w:color w:val="000000"/>
          <w:sz w:val="22"/>
          <w:szCs w:val="22"/>
        </w:rPr>
        <w:t> </w:t>
      </w:r>
      <w:bookmarkEnd w:id="94"/>
      <w:r>
        <w:rPr>
          <w:rFonts w:ascii="Arial" w:hAnsi="Arial" w:cs="Arial"/>
          <w:color w:val="000000"/>
          <w:sz w:val="22"/>
          <w:szCs w:val="22"/>
        </w:rPr>
        <w:t>Stando così com'altro, dato che non vi sono indicazioni più precise degli argomenti che il Tribunale avrebbe non tenuto conto, secondo Mediaset, si deve ritenere, in primo luogo, che la motivazione del Tribunale per respingere gli argomenti di cui ai punti da 121 a 129 della domanda in primo grado soddisfaceva la norma giuridica richiesta e, in secondo luogo, che le argomentazioni avanzate da</w:t>
      </w:r>
    </w:p>
    <w:p w14:paraId="2D05945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5" w:name="point96"/>
      <w:r>
        <w:rPr>
          <w:rFonts w:ascii="Arial" w:hAnsi="Arial" w:cs="Arial"/>
          <w:color w:val="000000"/>
          <w:sz w:val="22"/>
          <w:szCs w:val="22"/>
        </w:rPr>
        <w:t>96</w:t>
      </w:r>
      <w:r>
        <w:rPr>
          <w:rStyle w:val="apple-converted-space"/>
          <w:rFonts w:ascii="Arial" w:hAnsi="Arial" w:cs="Arial"/>
          <w:color w:val="000000"/>
          <w:sz w:val="22"/>
          <w:szCs w:val="22"/>
        </w:rPr>
        <w:t> </w:t>
      </w:r>
      <w:bookmarkEnd w:id="95"/>
      <w:r>
        <w:rPr>
          <w:rFonts w:ascii="Arial" w:hAnsi="Arial" w:cs="Arial"/>
          <w:color w:val="000000"/>
          <w:sz w:val="22"/>
          <w:szCs w:val="22"/>
        </w:rPr>
        <w:t>Alla luce di quanto precede, il quinto motivo di ricorso deve essere respinto.</w:t>
      </w:r>
    </w:p>
    <w:p w14:paraId="4A17C47D"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sesto motivo: errore di diritto nell'interpretazione e nell'applicazione dell'articolo 87, paragrafo 3, lettera c), CE</w:t>
      </w:r>
    </w:p>
    <w:p w14:paraId="0CD9B9D1"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17BA489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6" w:name="point97"/>
      <w:r>
        <w:rPr>
          <w:rFonts w:ascii="Arial" w:hAnsi="Arial" w:cs="Arial"/>
          <w:color w:val="000000"/>
          <w:sz w:val="22"/>
          <w:szCs w:val="22"/>
        </w:rPr>
        <w:t>97</w:t>
      </w:r>
      <w:r>
        <w:rPr>
          <w:rStyle w:val="apple-converted-space"/>
          <w:rFonts w:ascii="Arial" w:hAnsi="Arial" w:cs="Arial"/>
          <w:color w:val="000000"/>
          <w:sz w:val="22"/>
          <w:szCs w:val="22"/>
        </w:rPr>
        <w:t> </w:t>
      </w:r>
      <w:bookmarkEnd w:id="96"/>
      <w:r>
        <w:rPr>
          <w:rFonts w:ascii="Arial" w:hAnsi="Arial" w:cs="Arial"/>
          <w:color w:val="000000"/>
          <w:sz w:val="22"/>
          <w:szCs w:val="22"/>
        </w:rPr>
        <w:t>Mediaset sostiene che il Tribunale ha commesso un errore di diritto nell'interpretazione e nell'applicazione dell'articolo 87, paragrafo 3, lettera c), CE a causa del fatto che ha ritenuto che la Commissione aveva legittimamente dichiarato la misura in questione incompatibile con il mercato comune per il solo motivo per il fatto che escludeva i decodificatori satellitari dal suo ambito di applicazione e, con l' Inoltre, Mediaset critica il Tribunale per aver approvato l’approccio della Commissione di presumere che vi fosse un vantaggio economico a favore di Mediaset, senza intraprendere la necessaria analisi economica e di fatto, in particolare per quanto riguarda la distorsione della concorrenza sul mercato della pay-TV.</w:t>
      </w:r>
    </w:p>
    <w:p w14:paraId="607E9AA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7" w:name="point98"/>
      <w:r>
        <w:rPr>
          <w:rFonts w:ascii="Arial" w:hAnsi="Arial" w:cs="Arial"/>
          <w:color w:val="000000"/>
          <w:sz w:val="22"/>
          <w:szCs w:val="22"/>
        </w:rPr>
        <w:t>98</w:t>
      </w:r>
      <w:r>
        <w:rPr>
          <w:rStyle w:val="apple-converted-space"/>
          <w:rFonts w:ascii="Arial" w:hAnsi="Arial" w:cs="Arial"/>
          <w:color w:val="000000"/>
          <w:sz w:val="22"/>
          <w:szCs w:val="22"/>
        </w:rPr>
        <w:t> </w:t>
      </w:r>
      <w:bookmarkEnd w:id="97"/>
      <w:r>
        <w:rPr>
          <w:rFonts w:ascii="Arial" w:hAnsi="Arial" w:cs="Arial"/>
          <w:color w:val="000000"/>
          <w:sz w:val="22"/>
          <w:szCs w:val="22"/>
        </w:rPr>
        <w:t>Il Tribunale ha inoltre approvato, erroneamente, l’approccio della Commissione secondo cui tale vantaggio è, per definizione, sempre incompatibile con il mercato comune, senza alcuna valutazione dell’importanza di tale presunto vantaggio alla luce dei principi di proporzionalità e necessità, al fine di individuare i suoi effetti netti sulla concorrenza nel mercato rilevante, come richiesto dall’articolo 87, paragrafo 3, lettera c), Tale analisi avrebbe dovuto includere, tra l'altro, un adeguato test di bilanciamento dei vantaggi netti forniti dalla misura in questione e dei costi netti in termini di distorsioni specifiche sul mercato della pay-TV.</w:t>
      </w:r>
    </w:p>
    <w:p w14:paraId="73FFA01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8" w:name="point99"/>
      <w:r>
        <w:rPr>
          <w:rFonts w:ascii="Arial" w:hAnsi="Arial" w:cs="Arial"/>
          <w:color w:val="000000"/>
          <w:sz w:val="22"/>
          <w:szCs w:val="22"/>
        </w:rPr>
        <w:t>99</w:t>
      </w:r>
      <w:r>
        <w:rPr>
          <w:rStyle w:val="apple-converted-space"/>
          <w:rFonts w:ascii="Arial" w:hAnsi="Arial" w:cs="Arial"/>
          <w:color w:val="000000"/>
          <w:sz w:val="22"/>
          <w:szCs w:val="22"/>
        </w:rPr>
        <w:t> </w:t>
      </w:r>
      <w:bookmarkEnd w:id="98"/>
      <w:r>
        <w:rPr>
          <w:rFonts w:ascii="Arial" w:hAnsi="Arial" w:cs="Arial"/>
          <w:color w:val="000000"/>
          <w:sz w:val="22"/>
          <w:szCs w:val="22"/>
        </w:rPr>
        <w:t>La Commissione e Sky Italia contestano che l'esclusione ingiustificata della piattaforma satellitare dal beneficio della misura in questione costituisce un elemento di distorsione sufficiente a rendere l'aiuto in questione incompatibile con il mercato comune. A sostegno di tale tesi, Sky Italia si basa sul punto 69 della sentenza del 6 ottobre 2009 nella causa T-21/06</w:t>
      </w:r>
      <w:r>
        <w:rPr>
          <w:rFonts w:ascii="Arial" w:hAnsi="Arial" w:cs="Arial"/>
          <w:i/>
          <w:iCs/>
          <w:color w:val="000000"/>
          <w:sz w:val="22"/>
          <w:szCs w:val="22"/>
        </w:rPr>
        <w:t>, Germania</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color w:val="000000"/>
          <w:sz w:val="22"/>
          <w:szCs w:val="22"/>
        </w:rPr>
        <w:t> </w:t>
      </w:r>
      <w:r>
        <w:rPr>
          <w:rFonts w:ascii="Arial" w:hAnsi="Arial" w:cs="Arial"/>
          <w:color w:val="000000"/>
          <w:sz w:val="22"/>
          <w:szCs w:val="22"/>
        </w:rPr>
        <w:t>Per quanto riguarda la presunta mancata analisi degli effetti della distorsione sul mercato della pay-TV, la Commissione afferma che il semplice fatto che Sky Italia, che era il principale concorrente di Mediaset, fosse escluso dal beneficio dell'aiuto, implica, di per sé, l'esistenza di una distorsione della concorrenza sul mercato. Secondo Sky Italia, Mediaset sta cercando, con il sesto motivo di appello, di far rivalutare i fatti.</w:t>
      </w:r>
    </w:p>
    <w:p w14:paraId="30AD0DF0"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79FC6E9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99" w:name="point100"/>
      <w:r>
        <w:rPr>
          <w:rFonts w:ascii="Arial" w:hAnsi="Arial" w:cs="Arial"/>
          <w:color w:val="000000"/>
          <w:sz w:val="22"/>
          <w:szCs w:val="22"/>
        </w:rPr>
        <w:t>100</w:t>
      </w:r>
      <w:r>
        <w:rPr>
          <w:rStyle w:val="apple-converted-space"/>
          <w:rFonts w:ascii="Arial" w:hAnsi="Arial" w:cs="Arial"/>
          <w:color w:val="000000"/>
          <w:sz w:val="22"/>
          <w:szCs w:val="22"/>
        </w:rPr>
        <w:t> </w:t>
      </w:r>
      <w:bookmarkEnd w:id="99"/>
      <w:r>
        <w:rPr>
          <w:rFonts w:ascii="Arial" w:hAnsi="Arial" w:cs="Arial"/>
          <w:color w:val="000000"/>
          <w:sz w:val="22"/>
          <w:szCs w:val="22"/>
        </w:rPr>
        <w:t>Mediaset sostiene, in sostanza, che il Tribunale ha commesso un errore di diritto nell’applicazione dell’articolo 87, paragrafo 3, lettera c), CE perché non ha riscontrato la constatazione della Commissione secondo cui tale disposizione non era applicabile per il solo motivo che la misura in questione non era tecnologicamente neutrale ed era per questo motivo selettiva.</w:t>
      </w:r>
    </w:p>
    <w:p w14:paraId="642BEF8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0" w:name="point101"/>
      <w:r>
        <w:rPr>
          <w:rFonts w:ascii="Arial" w:hAnsi="Arial" w:cs="Arial"/>
          <w:color w:val="000000"/>
          <w:sz w:val="22"/>
          <w:szCs w:val="22"/>
        </w:rPr>
        <w:t>101</w:t>
      </w:r>
      <w:r>
        <w:rPr>
          <w:rStyle w:val="apple-converted-space"/>
          <w:rFonts w:ascii="Arial" w:hAnsi="Arial" w:cs="Arial"/>
          <w:color w:val="000000"/>
          <w:sz w:val="22"/>
          <w:szCs w:val="22"/>
        </w:rPr>
        <w:t> </w:t>
      </w:r>
      <w:bookmarkEnd w:id="100"/>
      <w:r>
        <w:rPr>
          <w:rFonts w:ascii="Arial" w:hAnsi="Arial" w:cs="Arial"/>
          <w:color w:val="000000"/>
          <w:sz w:val="22"/>
          <w:szCs w:val="22"/>
        </w:rPr>
        <w:t>Stando così le cose, e tenendo conto del fatto, come osservato al punto 73 della presente sentenza, che il Tribunale ha competenza esclusiva per stabilire e valutare i fatti pertinenti e per valutare le prove, la Corte deve esaminare, nell'ambito di tale ricorso, se la se la selettività degli aiuti di Stato derivante dal fatto che non sono tecnologicamente neutrali possa essere sufficiente, in circostanze</w:t>
      </w:r>
    </w:p>
    <w:p w14:paraId="0491B36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1" w:name="point102"/>
      <w:r>
        <w:rPr>
          <w:rFonts w:ascii="Arial" w:hAnsi="Arial" w:cs="Arial"/>
          <w:color w:val="000000"/>
          <w:sz w:val="22"/>
          <w:szCs w:val="22"/>
        </w:rPr>
        <w:t>102</w:t>
      </w:r>
      <w:r>
        <w:rPr>
          <w:rStyle w:val="apple-converted-space"/>
          <w:rFonts w:ascii="Arial" w:hAnsi="Arial" w:cs="Arial"/>
          <w:color w:val="000000"/>
          <w:sz w:val="22"/>
          <w:szCs w:val="22"/>
        </w:rPr>
        <w:t> </w:t>
      </w:r>
      <w:bookmarkEnd w:id="101"/>
      <w:r>
        <w:rPr>
          <w:rFonts w:ascii="Arial" w:hAnsi="Arial" w:cs="Arial"/>
          <w:color w:val="000000"/>
          <w:sz w:val="22"/>
          <w:szCs w:val="22"/>
        </w:rPr>
        <w:t>Secondo tale disposizione, gli aiuti destinati a facilitare lo sviluppo di talune attività economiche o di talune zone economiche possono essere considerati compatibili con il mercato comune qualora tali aiuti non pregiudichino le condizioni degli scambi in misura contraria all'interesse comune.</w:t>
      </w:r>
    </w:p>
    <w:p w14:paraId="649BBB86"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2" w:name="point103"/>
      <w:r>
        <w:rPr>
          <w:rFonts w:ascii="Arial" w:hAnsi="Arial" w:cs="Arial"/>
          <w:color w:val="000000"/>
          <w:sz w:val="22"/>
          <w:szCs w:val="22"/>
        </w:rPr>
        <w:t>103</w:t>
      </w:r>
      <w:r>
        <w:rPr>
          <w:rStyle w:val="apple-converted-space"/>
          <w:rFonts w:ascii="Arial" w:hAnsi="Arial" w:cs="Arial"/>
          <w:color w:val="000000"/>
          <w:sz w:val="22"/>
          <w:szCs w:val="22"/>
        </w:rPr>
        <w:t> </w:t>
      </w:r>
      <w:bookmarkEnd w:id="102"/>
      <w:r>
        <w:rPr>
          <w:rFonts w:ascii="Arial" w:hAnsi="Arial" w:cs="Arial"/>
          <w:color w:val="000000"/>
          <w:sz w:val="22"/>
          <w:szCs w:val="22"/>
        </w:rPr>
        <w:t>È chiaro che la misura in questione ha permesso ai consumatori, secondo le conclusioni di fatto formulate dal Tribunale, di beneficiare di una sovvenzione solo quando hanno acquistato un decoder digitale terrestre utilizzando standard "aperti" e non quando hanno acquistato un decoder satellitare digitale utilizzando tali standard. Tuttavia, per necessità, tale misura è responsabile, a causa del fatto che pone un consumatore in una situazione più favorevole quando acquista un tale decoder terrestre rispetto a quando acquista tale decoder satellitare, per favorire la commercializzazione e la vendita di decoder terrestri e, di conseguenza, per influire sulle condizioni commerciali nel mercato comune.</w:t>
      </w:r>
    </w:p>
    <w:p w14:paraId="4575E65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3" w:name="point104"/>
      <w:r>
        <w:rPr>
          <w:rFonts w:ascii="Arial" w:hAnsi="Arial" w:cs="Arial"/>
          <w:color w:val="000000"/>
          <w:sz w:val="22"/>
          <w:szCs w:val="22"/>
        </w:rPr>
        <w:t>104</w:t>
      </w:r>
      <w:r>
        <w:rPr>
          <w:rStyle w:val="apple-converted-space"/>
          <w:rFonts w:ascii="Arial" w:hAnsi="Arial" w:cs="Arial"/>
          <w:color w:val="000000"/>
          <w:sz w:val="22"/>
          <w:szCs w:val="22"/>
        </w:rPr>
        <w:t> </w:t>
      </w:r>
      <w:bookmarkEnd w:id="103"/>
      <w:r>
        <w:rPr>
          <w:rFonts w:ascii="Arial" w:hAnsi="Arial" w:cs="Arial"/>
          <w:color w:val="000000"/>
          <w:sz w:val="22"/>
          <w:szCs w:val="22"/>
        </w:rPr>
        <w:t>Ne consegue che tale aspetto della selettività per quanto riguarda la tecnologia che incide su una misura di aiuto può essere sufficiente di per sé a causare una distorsione che è un motivo sufficiente per ritenere che tale misura sia incompatibile con il mercato comune.</w:t>
      </w:r>
    </w:p>
    <w:p w14:paraId="571339BA"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4" w:name="point105"/>
      <w:r>
        <w:rPr>
          <w:rFonts w:ascii="Arial" w:hAnsi="Arial" w:cs="Arial"/>
          <w:color w:val="000000"/>
          <w:sz w:val="22"/>
          <w:szCs w:val="22"/>
        </w:rPr>
        <w:t>105</w:t>
      </w:r>
      <w:r>
        <w:rPr>
          <w:rStyle w:val="apple-converted-space"/>
          <w:rFonts w:ascii="Arial" w:hAnsi="Arial" w:cs="Arial"/>
          <w:color w:val="000000"/>
          <w:sz w:val="22"/>
          <w:szCs w:val="22"/>
        </w:rPr>
        <w:t> </w:t>
      </w:r>
      <w:bookmarkEnd w:id="104"/>
      <w:r>
        <w:rPr>
          <w:rFonts w:ascii="Arial" w:hAnsi="Arial" w:cs="Arial"/>
          <w:color w:val="000000"/>
          <w:sz w:val="22"/>
          <w:szCs w:val="22"/>
        </w:rPr>
        <w:t>In tali circostanze, il Tribunale non ha commesso alcun errore di diritto respingendo le argomentazioni avanzate da Mediaset in primo grado, in particolare ai punti da 127 a 129 e 133 della sentenza impugnata, in quanto i vari fattori invocati da Mediaset non potevano giustificare l'esclusione delle emittenti satellitari dal beneficio della misura in questione.</w:t>
      </w:r>
    </w:p>
    <w:p w14:paraId="179A7A6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5" w:name="point106"/>
      <w:r>
        <w:rPr>
          <w:rFonts w:ascii="Arial" w:hAnsi="Arial" w:cs="Arial"/>
          <w:color w:val="000000"/>
          <w:sz w:val="22"/>
          <w:szCs w:val="22"/>
        </w:rPr>
        <w:t>106</w:t>
      </w:r>
      <w:r>
        <w:rPr>
          <w:rStyle w:val="apple-converted-space"/>
          <w:rFonts w:ascii="Arial" w:hAnsi="Arial" w:cs="Arial"/>
          <w:color w:val="000000"/>
          <w:sz w:val="22"/>
          <w:szCs w:val="22"/>
        </w:rPr>
        <w:t> </w:t>
      </w:r>
      <w:bookmarkEnd w:id="105"/>
      <w:r>
        <w:rPr>
          <w:rFonts w:ascii="Arial" w:hAnsi="Arial" w:cs="Arial"/>
          <w:color w:val="000000"/>
          <w:sz w:val="22"/>
          <w:szCs w:val="22"/>
        </w:rPr>
        <w:t>Per quanto riguarda la presunta mancata esecuzione di un esame specifico del vantaggio economico conferito e della distorsione della concorrenza creata nel mercato della pay-TV, va ricordato, come indicato ai punti 75, 76 e 93 della presente sentenza, che, tenuto conto della portata della decisione impugnata, l'analisi economica effettuata dal Tribunale nella sentenza impugnata, in particolare ai punti da 95 a 111, in cui ha quel mercato.</w:t>
      </w:r>
    </w:p>
    <w:p w14:paraId="1C566F2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6" w:name="point107"/>
      <w:r>
        <w:rPr>
          <w:rFonts w:ascii="Arial" w:hAnsi="Arial" w:cs="Arial"/>
          <w:color w:val="000000"/>
          <w:sz w:val="22"/>
          <w:szCs w:val="22"/>
        </w:rPr>
        <w:t>107</w:t>
      </w:r>
      <w:r>
        <w:rPr>
          <w:rStyle w:val="apple-converted-space"/>
          <w:rFonts w:ascii="Arial" w:hAnsi="Arial" w:cs="Arial"/>
          <w:color w:val="000000"/>
          <w:sz w:val="22"/>
          <w:szCs w:val="22"/>
        </w:rPr>
        <w:t> </w:t>
      </w:r>
      <w:bookmarkEnd w:id="106"/>
      <w:r>
        <w:rPr>
          <w:rFonts w:ascii="Arial" w:hAnsi="Arial" w:cs="Arial"/>
          <w:color w:val="000000"/>
          <w:sz w:val="22"/>
          <w:szCs w:val="22"/>
        </w:rPr>
        <w:t>Poiché il Tribunale ha esaminato, contrariamente a quanto sostenuto da Mediaset, se il provvedimento in questione abbia causato una distorsione della concorrenza nel mercato della pay-TV, è sufficiente dichiarare, per il resto, che il contenuto specifico di tale analisi rientra nell'ambito di applicazione della valutazione dei fatti effettuata dal Tribunale che, conformemente alla giurisprudenza citata al punto 73 della presente sentenza, non può essere esamina</w:t>
      </w:r>
    </w:p>
    <w:p w14:paraId="3AF1F0D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7" w:name="point108"/>
      <w:r>
        <w:rPr>
          <w:rFonts w:ascii="Arial" w:hAnsi="Arial" w:cs="Arial"/>
          <w:color w:val="000000"/>
          <w:sz w:val="22"/>
          <w:szCs w:val="22"/>
        </w:rPr>
        <w:t>108</w:t>
      </w:r>
      <w:r>
        <w:rPr>
          <w:rStyle w:val="apple-converted-space"/>
          <w:rFonts w:ascii="Arial" w:hAnsi="Arial" w:cs="Arial"/>
          <w:color w:val="000000"/>
          <w:sz w:val="22"/>
          <w:szCs w:val="22"/>
        </w:rPr>
        <w:t> </w:t>
      </w:r>
      <w:bookmarkEnd w:id="107"/>
      <w:r>
        <w:rPr>
          <w:rFonts w:ascii="Arial" w:hAnsi="Arial" w:cs="Arial"/>
          <w:color w:val="000000"/>
          <w:sz w:val="22"/>
          <w:szCs w:val="22"/>
        </w:rPr>
        <w:t>Ne consegue che il sesto motivo di ricorso deve essere respinto nella sua interezza.</w:t>
      </w:r>
    </w:p>
    <w:p w14:paraId="6EB08C17"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Il settimo motivo di ricorso: errore di diritto e motivazione inadeguata derivante dal fatto che il Tribunale non ha risposto adeguatamente al terzo motivo sollevato in primo grado</w:t>
      </w:r>
    </w:p>
    <w:p w14:paraId="05FB4C77"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14B1195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8" w:name="point109"/>
      <w:r>
        <w:rPr>
          <w:rFonts w:ascii="Arial" w:hAnsi="Arial" w:cs="Arial"/>
          <w:color w:val="000000"/>
          <w:sz w:val="22"/>
          <w:szCs w:val="22"/>
        </w:rPr>
        <w:t>109</w:t>
      </w:r>
      <w:r>
        <w:rPr>
          <w:rStyle w:val="apple-converted-space"/>
          <w:rFonts w:ascii="Arial" w:hAnsi="Arial" w:cs="Arial"/>
          <w:color w:val="000000"/>
          <w:sz w:val="22"/>
          <w:szCs w:val="22"/>
        </w:rPr>
        <w:t> </w:t>
      </w:r>
      <w:bookmarkEnd w:id="108"/>
      <w:r>
        <w:rPr>
          <w:rFonts w:ascii="Arial" w:hAnsi="Arial" w:cs="Arial"/>
          <w:color w:val="000000"/>
          <w:sz w:val="22"/>
          <w:szCs w:val="22"/>
        </w:rPr>
        <w:t>Mediaset sostiene che il Tribunale ha commesso un errore di diritto e che la sentenza impugnata è carente a causa della mancata motivazione dovuta al fatto che non ha risposto adeguatamente al terzo motivo di Mediaset in primo grado, di cui ai punti 133 e seguenti della domanda, sostenendo che la motivazione nella decisione impugnata era inappropriata e contraddittoria per quanto riguarda l’analisi della compatibilità della misura in Mediaset contesta, in particolare, l'assenza di analisi del mercato della pay-TV e si lamenta che il Tribunale si è basato esclusivamente, a tale riguardo, su una presunta violazione della neutralità tecnologica. Secondo Mediaset, il Tribunale ha frainteso i suoi argomenti e quindi li ha erroneamente respinti, in particolare al punto 159 della sentenza impugnata.</w:t>
      </w:r>
    </w:p>
    <w:p w14:paraId="69251915"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09" w:name="point110"/>
      <w:r>
        <w:rPr>
          <w:rFonts w:ascii="Arial" w:hAnsi="Arial" w:cs="Arial"/>
          <w:color w:val="000000"/>
          <w:sz w:val="22"/>
          <w:szCs w:val="22"/>
        </w:rPr>
        <w:t>110</w:t>
      </w:r>
      <w:r>
        <w:rPr>
          <w:rStyle w:val="apple-converted-space"/>
          <w:rFonts w:ascii="Arial" w:hAnsi="Arial" w:cs="Arial"/>
          <w:color w:val="000000"/>
          <w:sz w:val="22"/>
          <w:szCs w:val="22"/>
        </w:rPr>
        <w:t> </w:t>
      </w:r>
      <w:bookmarkEnd w:id="109"/>
      <w:r>
        <w:rPr>
          <w:rFonts w:ascii="Arial" w:hAnsi="Arial" w:cs="Arial"/>
          <w:color w:val="000000"/>
          <w:sz w:val="22"/>
          <w:szCs w:val="22"/>
        </w:rPr>
        <w:t>Secondo la Commissione, l'unico motivo sostanziale sollevato dalla ricorrente in questo motivo di impugnazione sembra essere la natura presumibilmente inadeguata dell'esame da parte del Tribunale di una distorsione specifica della concorrenza sul mercato della pay-TV. Tuttavia, Mediaset aveva già presentato tale argomento nel sesto motivo di appello. La Commissione fa quindi riferimento alla sua risposta a tale motivo di ricorso. Secondo Sky Italia, Mediaset cerca, ancora una volta, con il settimo motivo di appello, di far rivalutare i fatti. In ogni caso, il Tribunale ha esaminato gli effetti del provvedimento in questione sul mercato della pay-TV ai punti da 150 a 155 della sentenza impugnata.</w:t>
      </w:r>
    </w:p>
    <w:p w14:paraId="4F40209B"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6A2FBC5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0" w:name="point111"/>
      <w:r>
        <w:rPr>
          <w:rFonts w:ascii="Arial" w:hAnsi="Arial" w:cs="Arial"/>
          <w:color w:val="000000"/>
          <w:sz w:val="22"/>
          <w:szCs w:val="22"/>
        </w:rPr>
        <w:t>111</w:t>
      </w:r>
      <w:r>
        <w:rPr>
          <w:rStyle w:val="apple-converted-space"/>
          <w:rFonts w:ascii="Arial" w:hAnsi="Arial" w:cs="Arial"/>
          <w:color w:val="000000"/>
          <w:sz w:val="22"/>
          <w:szCs w:val="22"/>
        </w:rPr>
        <w:t> </w:t>
      </w:r>
      <w:bookmarkEnd w:id="110"/>
      <w:r>
        <w:rPr>
          <w:rFonts w:ascii="Arial" w:hAnsi="Arial" w:cs="Arial"/>
          <w:color w:val="000000"/>
          <w:sz w:val="22"/>
          <w:szCs w:val="22"/>
        </w:rPr>
        <w:t>Come punto preliminare, va osservato che il settimo motivo riguarda il fatto che il Tribunale fosse giustificato nel respingere il terzo motivo presentato in primo grado, di cui ai punti 133 e seguenti della domanda, che sosteneva una violazione di un requisito procedurale essenziale in relazione alla motivazione delle misure, ai sensi dell'articolo 253 CE. Il settimo motivo riguarda quindi l’esame da parte del Tribunale di un motivo relativo a una presunta violazione dell’obbligo di motivazione, che è un motivo distinto da quelli riguardanti la legittimità sostanziale di una misura (v., in tal senso, causa C</w:t>
      </w:r>
      <w:r>
        <w:rPr>
          <w:rFonts w:ascii="Cambria Math" w:hAnsi="Cambria Math" w:cs="Cambria Math"/>
          <w:color w:val="000000"/>
          <w:sz w:val="22"/>
          <w:szCs w:val="22"/>
        </w:rPr>
        <w:t>‐</w:t>
      </w:r>
      <w:r>
        <w:rPr>
          <w:rFonts w:ascii="Arial" w:hAnsi="Arial" w:cs="Arial"/>
          <w:color w:val="000000"/>
          <w:sz w:val="22"/>
          <w:szCs w:val="22"/>
        </w:rPr>
        <w:t>367/95 P</w:t>
      </w:r>
      <w:r>
        <w:rPr>
          <w:rStyle w:val="apple-converted-space"/>
          <w:rFonts w:ascii="Arial" w:hAnsi="Arial" w:cs="Arial"/>
          <w:color w:val="000000"/>
          <w:sz w:val="22"/>
          <w:szCs w:val="22"/>
        </w:rPr>
        <w:t> </w:t>
      </w:r>
      <w:r>
        <w:rPr>
          <w:rFonts w:ascii="Arial" w:hAnsi="Arial" w:cs="Arial"/>
          <w:i/>
          <w:iCs/>
          <w:color w:val="000000"/>
          <w:sz w:val="22"/>
          <w:szCs w:val="22"/>
        </w:rPr>
        <w:t>Commissione</w:t>
      </w:r>
      <w:r>
        <w:rPr>
          <w:rFonts w:ascii="Arial" w:hAnsi="Arial" w:cs="Arial"/>
          <w:color w:val="000000"/>
          <w:sz w:val="22"/>
          <w:szCs w:val="22"/>
        </w:rPr>
        <w:t>/</w:t>
      </w:r>
      <w:r>
        <w:rPr>
          <w:rFonts w:ascii="Arial" w:hAnsi="Arial" w:cs="Arial"/>
          <w:i/>
          <w:iCs/>
          <w:color w:val="000000"/>
          <w:sz w:val="22"/>
          <w:szCs w:val="22"/>
        </w:rPr>
        <w:t>Sytraval e Brink’s France</w:t>
      </w:r>
      <w:r>
        <w:rPr>
          <w:rFonts w:ascii="Arial" w:hAnsi="Arial" w:cs="Arial"/>
          <w:color w:val="000000"/>
          <w:sz w:val="22"/>
          <w:szCs w:val="22"/>
        </w:rPr>
        <w:t>, Racc. 1998, pag I-1719, punti 66</w:t>
      </w:r>
    </w:p>
    <w:p w14:paraId="4458396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1" w:name="point112"/>
      <w:r>
        <w:rPr>
          <w:rFonts w:ascii="Arial" w:hAnsi="Arial" w:cs="Arial"/>
          <w:color w:val="000000"/>
          <w:sz w:val="22"/>
          <w:szCs w:val="22"/>
        </w:rPr>
        <w:t>112</w:t>
      </w:r>
      <w:r>
        <w:rPr>
          <w:rStyle w:val="apple-converted-space"/>
          <w:rFonts w:ascii="Arial" w:hAnsi="Arial" w:cs="Arial"/>
          <w:color w:val="000000"/>
          <w:sz w:val="22"/>
          <w:szCs w:val="22"/>
        </w:rPr>
        <w:t> </w:t>
      </w:r>
      <w:bookmarkEnd w:id="111"/>
      <w:r>
        <w:rPr>
          <w:rFonts w:ascii="Arial" w:hAnsi="Arial" w:cs="Arial"/>
          <w:color w:val="000000"/>
          <w:sz w:val="22"/>
          <w:szCs w:val="22"/>
        </w:rPr>
        <w:t>Nella misura in cui Mediaset intendeva che il presente motivo di impugnazione dovesse contestare anche le conclusioni sostanziali formulate nella sentenza impugnata in relazione all'incompatibilità della misura in questione con il mercato comune, tale motivo si sovrappone al quinto e al sesto motivo di impugnazione precedentemente esaminati nella presente sentenza. In ogni caso, il settimo motivo di ricorso non identifica, con sufficiente precisione, in che modo il ragionamento sostanziale nella sentenza impugnata è illegale, come richiesto in conformità con la giurisprudenza citata al punto 89 della presente sentenza.</w:t>
      </w:r>
    </w:p>
    <w:p w14:paraId="079E22C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2" w:name="point113"/>
      <w:r>
        <w:rPr>
          <w:rFonts w:ascii="Arial" w:hAnsi="Arial" w:cs="Arial"/>
          <w:color w:val="000000"/>
          <w:sz w:val="22"/>
          <w:szCs w:val="22"/>
        </w:rPr>
        <w:t>113</w:t>
      </w:r>
      <w:r>
        <w:rPr>
          <w:rStyle w:val="apple-converted-space"/>
          <w:rFonts w:ascii="Arial" w:hAnsi="Arial" w:cs="Arial"/>
          <w:color w:val="000000"/>
          <w:sz w:val="22"/>
          <w:szCs w:val="22"/>
        </w:rPr>
        <w:t> </w:t>
      </w:r>
      <w:bookmarkEnd w:id="112"/>
      <w:r>
        <w:rPr>
          <w:rFonts w:ascii="Arial" w:hAnsi="Arial" w:cs="Arial"/>
          <w:color w:val="000000"/>
          <w:sz w:val="22"/>
          <w:szCs w:val="22"/>
        </w:rPr>
        <w:t>Inoltre, è stato costantemente ritenuto che la motivazione richiesta dall'articolo 253 CE deve essere adeguata alla misura in questione e deve rivelare in modo chiaro e inequivocabile il ragionamento seguito dall'istituzione che ha adottato la misura in questione in modo da consentire alle persone interessate di accertare i motivi della misura adottata e di consentire al giudice competente di esercitare il suo potere di riesame. I requisiti da soddisfare con la motivazione dipendono dalle circostanze di ciascun caso, in particolare dal contenuto della misura in questione, dalla natura dei motivi indicati e dall'interesse che i destinatari della misura, o da altre parti di interesse diretto e individuale, possono avere nell'ottenere spiegazioni (</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contro</w:t>
      </w:r>
      <w:r>
        <w:rPr>
          <w:rStyle w:val="apple-converted-space"/>
          <w:rFonts w:ascii="Arial" w:hAnsi="Arial" w:cs="Arial"/>
          <w:color w:val="000000"/>
          <w:sz w:val="22"/>
          <w:szCs w:val="22"/>
        </w:rPr>
        <w:t> </w:t>
      </w:r>
      <w:r>
        <w:rPr>
          <w:rFonts w:ascii="Arial" w:hAnsi="Arial" w:cs="Arial"/>
          <w:i/>
          <w:iCs/>
          <w:color w:val="000000"/>
          <w:sz w:val="22"/>
          <w:szCs w:val="22"/>
        </w:rPr>
        <w:t>Sytraval e Brink's France</w:t>
      </w:r>
      <w:r>
        <w:rPr>
          <w:rFonts w:ascii="Arial" w:hAnsi="Arial" w:cs="Arial"/>
          <w:color w:val="000000"/>
          <w:sz w:val="22"/>
          <w:szCs w:val="22"/>
        </w:rPr>
        <w:t>, punto 63 e giurisprudenza citata).</w:t>
      </w:r>
    </w:p>
    <w:p w14:paraId="58A9967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3" w:name="point114"/>
      <w:r>
        <w:rPr>
          <w:rFonts w:ascii="Arial" w:hAnsi="Arial" w:cs="Arial"/>
          <w:color w:val="000000"/>
          <w:sz w:val="22"/>
          <w:szCs w:val="22"/>
        </w:rPr>
        <w:t>114</w:t>
      </w:r>
      <w:r>
        <w:rPr>
          <w:rStyle w:val="apple-converted-space"/>
          <w:rFonts w:ascii="Arial" w:hAnsi="Arial" w:cs="Arial"/>
          <w:color w:val="000000"/>
          <w:sz w:val="22"/>
          <w:szCs w:val="22"/>
        </w:rPr>
        <w:t> </w:t>
      </w:r>
      <w:bookmarkEnd w:id="113"/>
      <w:r>
        <w:rPr>
          <w:rFonts w:ascii="Arial" w:hAnsi="Arial" w:cs="Arial"/>
          <w:color w:val="000000"/>
          <w:sz w:val="22"/>
          <w:szCs w:val="22"/>
        </w:rPr>
        <w:t>La precisa denuncia di Mediaset è che il Tribunale non ha esaminato se la decisione impugnata non abbia giustificato la compatibilità dell’aiuto in questione con il mercato comune, a causa del fatto che ha esaminato le presunte distorsioni della concorrenza esclusivamente alla luce dell’articolo 87, paragrafo 1, CE, mentre Mediaset aveva anche sostenuto che non sono stati giustificati per quanto riguarda l’esame di tali distorsion</w:t>
      </w:r>
    </w:p>
    <w:p w14:paraId="7CFD5EF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4" w:name="point115"/>
      <w:r>
        <w:rPr>
          <w:rFonts w:ascii="Arial" w:hAnsi="Arial" w:cs="Arial"/>
          <w:color w:val="000000"/>
          <w:sz w:val="22"/>
          <w:szCs w:val="22"/>
        </w:rPr>
        <w:t>115</w:t>
      </w:r>
      <w:r>
        <w:rPr>
          <w:rStyle w:val="apple-converted-space"/>
          <w:rFonts w:ascii="Arial" w:hAnsi="Arial" w:cs="Arial"/>
          <w:color w:val="000000"/>
          <w:sz w:val="22"/>
          <w:szCs w:val="22"/>
        </w:rPr>
        <w:t> </w:t>
      </w:r>
      <w:bookmarkEnd w:id="114"/>
      <w:r>
        <w:rPr>
          <w:rFonts w:ascii="Arial" w:hAnsi="Arial" w:cs="Arial"/>
          <w:color w:val="000000"/>
          <w:sz w:val="22"/>
          <w:szCs w:val="22"/>
        </w:rPr>
        <w:t>Occorre ricordare, a questo proposito, che, al considerando 167 della decisione impugnata, che figura sotto il titolo «Evitare inutili distorsioni» e fa parte dell'esame della compatibilità della misura controversa con il mercato comune, alla luce dell'articolo 87, paragrafo 3, lettera c), CE CE, la Commissione fa espressamente riferimento alla sezione della decisione impugnata relativa al suo esame dell' Come osservato dalla Commissione, il Tribunale ha espressamente riesaminato la sufficienza dell'ultima parte della motivazione della decisione impugnata ai punti da 148 a 155 della sentenza impugnata.</w:t>
      </w:r>
    </w:p>
    <w:p w14:paraId="1F3020F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5" w:name="point116"/>
      <w:r>
        <w:rPr>
          <w:rFonts w:ascii="Arial" w:hAnsi="Arial" w:cs="Arial"/>
          <w:color w:val="000000"/>
          <w:sz w:val="22"/>
          <w:szCs w:val="22"/>
        </w:rPr>
        <w:t>116</w:t>
      </w:r>
      <w:r>
        <w:rPr>
          <w:rStyle w:val="apple-converted-space"/>
          <w:rFonts w:ascii="Arial" w:hAnsi="Arial" w:cs="Arial"/>
          <w:color w:val="000000"/>
          <w:sz w:val="22"/>
          <w:szCs w:val="22"/>
        </w:rPr>
        <w:t> </w:t>
      </w:r>
      <w:bookmarkEnd w:id="115"/>
      <w:r>
        <w:rPr>
          <w:rFonts w:ascii="Arial" w:hAnsi="Arial" w:cs="Arial"/>
          <w:color w:val="000000"/>
          <w:sz w:val="22"/>
          <w:szCs w:val="22"/>
        </w:rPr>
        <w:t>In tali circostanze, allo stesso modo in cui è stato ritenuto al punto 95 della presente sentenza che la motivazione del Tribunale per il respingere le argomentazioni presentate ai punti da 121 a 129 della domanda in primo grado soddisfacesse il principio il principio giuridico richiesto rispondendo, ai punti da 95 a 111 della sentenza impugnata, a argomenti analoghi relativi all’esistenza di un aiuto, si deve ritene sufficiente a giustificare il rigetto del settimo motivo di ricorso nella misura in cui riguarda le distorsioni della concorrenza.</w:t>
      </w:r>
    </w:p>
    <w:p w14:paraId="146E50DF"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6" w:name="point117"/>
      <w:r>
        <w:rPr>
          <w:rFonts w:ascii="Arial" w:hAnsi="Arial" w:cs="Arial"/>
          <w:color w:val="000000"/>
          <w:sz w:val="22"/>
          <w:szCs w:val="22"/>
        </w:rPr>
        <w:t>117</w:t>
      </w:r>
      <w:r>
        <w:rPr>
          <w:rStyle w:val="apple-converted-space"/>
          <w:rFonts w:ascii="Arial" w:hAnsi="Arial" w:cs="Arial"/>
          <w:color w:val="000000"/>
          <w:sz w:val="22"/>
          <w:szCs w:val="22"/>
        </w:rPr>
        <w:t> </w:t>
      </w:r>
      <w:bookmarkEnd w:id="116"/>
      <w:r>
        <w:rPr>
          <w:rFonts w:ascii="Arial" w:hAnsi="Arial" w:cs="Arial"/>
          <w:color w:val="000000"/>
          <w:sz w:val="22"/>
          <w:szCs w:val="22"/>
        </w:rPr>
        <w:t>Infine, nella misura in cui Mediaset contesta l'assenza di analisi, nella sentenza impugnata, del mercato della pay-TV e critica il Tribunale per aver invocato esclusivamente, per quanto riguarda l'incompatibilità del provvedimento in questione con il mercato comune, su una presunta violazione della neutralità tecnologica, si deve osservare che il Tribunale ha dichiarato, al punto 159 di tale sentenza, che Il Tribunale fa riferimento, a tale riguardo, ai considerando 104, 135 e 140 della decisione impugnata e al punto 109 della sua sentenza.</w:t>
      </w:r>
    </w:p>
    <w:p w14:paraId="67212F0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7" w:name="point118"/>
      <w:r>
        <w:rPr>
          <w:rFonts w:ascii="Arial" w:hAnsi="Arial" w:cs="Arial"/>
          <w:color w:val="000000"/>
          <w:sz w:val="22"/>
          <w:szCs w:val="22"/>
        </w:rPr>
        <w:t>118</w:t>
      </w:r>
      <w:r>
        <w:rPr>
          <w:rStyle w:val="apple-converted-space"/>
          <w:rFonts w:ascii="Arial" w:hAnsi="Arial" w:cs="Arial"/>
          <w:color w:val="000000"/>
          <w:sz w:val="22"/>
          <w:szCs w:val="22"/>
        </w:rPr>
        <w:t> </w:t>
      </w:r>
      <w:bookmarkEnd w:id="117"/>
      <w:r>
        <w:rPr>
          <w:rFonts w:ascii="Arial" w:hAnsi="Arial" w:cs="Arial"/>
          <w:color w:val="000000"/>
          <w:sz w:val="22"/>
          <w:szCs w:val="22"/>
        </w:rPr>
        <w:t>Ne consegue che il Tribunale ha chiaramente indicato, nella sentenza impugnata, i motivi per cui ha ritenuto che la motivazione della decisione impugnata soddisfasse il principio giuridico richiesto in relazione all'incompatibilità della misura controversa con il mercato comune, in particolare sulla base di un legame, stabilito dalla Commissione, tra tale incompatibilità e neutralità tecnologica.</w:t>
      </w:r>
    </w:p>
    <w:p w14:paraId="7F15622C"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8" w:name="point119"/>
      <w:r>
        <w:rPr>
          <w:rFonts w:ascii="Arial" w:hAnsi="Arial" w:cs="Arial"/>
          <w:color w:val="000000"/>
          <w:sz w:val="22"/>
          <w:szCs w:val="22"/>
        </w:rPr>
        <w:t>119</w:t>
      </w:r>
      <w:r>
        <w:rPr>
          <w:rStyle w:val="apple-converted-space"/>
          <w:rFonts w:ascii="Arial" w:hAnsi="Arial" w:cs="Arial"/>
          <w:color w:val="000000"/>
          <w:sz w:val="22"/>
          <w:szCs w:val="22"/>
        </w:rPr>
        <w:t> </w:t>
      </w:r>
      <w:bookmarkEnd w:id="118"/>
      <w:r>
        <w:rPr>
          <w:rFonts w:ascii="Arial" w:hAnsi="Arial" w:cs="Arial"/>
          <w:color w:val="000000"/>
          <w:sz w:val="22"/>
          <w:szCs w:val="22"/>
        </w:rPr>
        <w:t>Alla luce di quanto precede, il settimo motivo di ricorso deve essere respinto nella sua interezza.</w:t>
      </w:r>
    </w:p>
    <w:p w14:paraId="72643B40" w14:textId="77777777" w:rsidR="007B6988" w:rsidRDefault="007B6988" w:rsidP="007B6988">
      <w:pPr>
        <w:pStyle w:val="c05titre2"/>
        <w:spacing w:before="0" w:beforeAutospacing="0" w:after="240" w:afterAutospacing="0"/>
        <w:ind w:left="567"/>
        <w:jc w:val="both"/>
        <w:rPr>
          <w:rFonts w:ascii="Arial" w:hAnsi="Arial" w:cs="Arial"/>
          <w:i/>
          <w:iCs/>
          <w:color w:val="000000"/>
          <w:sz w:val="22"/>
          <w:szCs w:val="22"/>
        </w:rPr>
      </w:pPr>
      <w:r>
        <w:rPr>
          <w:rFonts w:ascii="Arial" w:hAnsi="Arial" w:cs="Arial"/>
          <w:i/>
          <w:iCs/>
          <w:color w:val="000000"/>
          <w:sz w:val="22"/>
          <w:szCs w:val="22"/>
        </w:rPr>
        <w:t> L'ottavo motivo di ricorso: violazione dell'articolo 14 del regolamento n. 659/1999</w:t>
      </w:r>
    </w:p>
    <w:p w14:paraId="0A41FD77"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Argomenti delle parti</w:t>
      </w:r>
    </w:p>
    <w:p w14:paraId="20A57169"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19" w:name="point120"/>
      <w:r>
        <w:rPr>
          <w:rFonts w:ascii="Arial" w:hAnsi="Arial" w:cs="Arial"/>
          <w:color w:val="000000"/>
          <w:sz w:val="22"/>
          <w:szCs w:val="22"/>
        </w:rPr>
        <w:t>120</w:t>
      </w:r>
      <w:r>
        <w:rPr>
          <w:rStyle w:val="apple-converted-space"/>
          <w:rFonts w:ascii="Arial" w:hAnsi="Arial" w:cs="Arial"/>
          <w:color w:val="000000"/>
          <w:sz w:val="22"/>
          <w:szCs w:val="22"/>
        </w:rPr>
        <w:t> </w:t>
      </w:r>
      <w:bookmarkEnd w:id="119"/>
      <w:r>
        <w:rPr>
          <w:rFonts w:ascii="Arial" w:hAnsi="Arial" w:cs="Arial"/>
          <w:color w:val="000000"/>
          <w:sz w:val="22"/>
          <w:szCs w:val="22"/>
        </w:rPr>
        <w:t>Mediaset sostiene che il Tribunale ha violato l'articolo 14 del regolamento n. 659/1999 non rispondendo al suo motivo secondo cui la decisione impugnata è incompatibile con il principio di certezza del diritto a causa del fatto che le sue disposizioni non consentono di stabilire una solida metodologia di recupero per l'aiuto identificato come incompatibile. Inoltre, il Tribunale ha commesso un errore di diritto respingendo il motivo separato, avanzato in primo grado, sostenendo la violazione del principio di certezza del diritto in quanto è il diritto nazionale e, di conseguenza, il giudice nazionale a determinare l'importo dell'aiuto da recuperare. Infine, Mediaset contesta l'applicazione del principio di recupero nel caso di cui trattasi, affermando che la decisione impugnata non consente il ripristino della situazione esistente prima del pagamento dell'aiuto in questione.</w:t>
      </w:r>
    </w:p>
    <w:p w14:paraId="05FC7EF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0" w:name="point121"/>
      <w:r>
        <w:rPr>
          <w:rFonts w:ascii="Arial" w:hAnsi="Arial" w:cs="Arial"/>
          <w:color w:val="000000"/>
          <w:sz w:val="22"/>
          <w:szCs w:val="22"/>
        </w:rPr>
        <w:t>121</w:t>
      </w:r>
      <w:r>
        <w:rPr>
          <w:rStyle w:val="apple-converted-space"/>
          <w:rFonts w:ascii="Arial" w:hAnsi="Arial" w:cs="Arial"/>
          <w:color w:val="000000"/>
          <w:sz w:val="22"/>
          <w:szCs w:val="22"/>
        </w:rPr>
        <w:t> </w:t>
      </w:r>
      <w:bookmarkEnd w:id="120"/>
      <w:r>
        <w:rPr>
          <w:rFonts w:ascii="Arial" w:hAnsi="Arial" w:cs="Arial"/>
          <w:color w:val="000000"/>
          <w:sz w:val="22"/>
          <w:szCs w:val="22"/>
        </w:rPr>
        <w:t>La Commissione ricorda che, ai sensi dell'articolo 14, paragrafo 1, del regolamento n. 659/1999, è tenuta a ordinare il recupero di aiuti illegali, a meno che tale recupero non sia contrario a un principio generale del diritto dell'UE. Il Tribunale ha affrontato questo punto nella sentenza impugnata e ha concluso che nessun principio generale del diritto dell'UE preclude il recupero. Per quanto riguarda la quantificazione dell'aiuto illecito, il Tribunale ha giustamente sottolineato che, conformemente alla giurisprudenza, la Commissione non è obbligata a quantificare l'aiuto illecito nella sua decisione di recupero. La Commissione deve semplicemente stabilire gli elementi che consentono allo Stato membro interessato, in collaborazione con la Commissione, di quantificare l'aiuto senza grandi difficoltà. La decisione impugnata, tuttavia, conteneva, ai considerando 191 e seguenti, orientamenti dettagliati su come quantificare l'aiuto illecito in questione. Nelle sue osservazioni molto generali, il ricorrente non spiega perché tale orientamento fosse insufficiente o perché il recupero di tale aiuto sarebbe stato impossibile. Gli eventi successivi hanno, inoltre, dimostrato che la quantificazione era possibile. In collaborazione con la Commissione, le autorità italiane hanno effettivamente quantificato tale aiuto, che è stato rimborsato dalla ricorrente insieme agli interessi.</w:t>
      </w:r>
    </w:p>
    <w:p w14:paraId="429ECD6D" w14:textId="77777777" w:rsidR="007B6988" w:rsidRDefault="007B6988" w:rsidP="007B6988">
      <w:pPr>
        <w:pStyle w:val="c06titre3"/>
        <w:spacing w:before="0" w:beforeAutospacing="0" w:after="240" w:afterAutospacing="0"/>
        <w:ind w:left="567"/>
        <w:jc w:val="both"/>
        <w:rPr>
          <w:rFonts w:ascii="Arial" w:hAnsi="Arial" w:cs="Arial"/>
          <w:color w:val="000000"/>
          <w:sz w:val="22"/>
          <w:szCs w:val="22"/>
        </w:rPr>
      </w:pPr>
      <w:r>
        <w:rPr>
          <w:rFonts w:ascii="Arial" w:hAnsi="Arial" w:cs="Arial"/>
          <w:color w:val="000000"/>
          <w:sz w:val="22"/>
          <w:szCs w:val="22"/>
        </w:rPr>
        <w:t>Risultati della Corte</w:t>
      </w:r>
    </w:p>
    <w:p w14:paraId="613B9B53"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1" w:name="point122"/>
      <w:r>
        <w:rPr>
          <w:rFonts w:ascii="Arial" w:hAnsi="Arial" w:cs="Arial"/>
          <w:color w:val="000000"/>
          <w:sz w:val="22"/>
          <w:szCs w:val="22"/>
        </w:rPr>
        <w:t>122</w:t>
      </w:r>
      <w:r>
        <w:rPr>
          <w:rStyle w:val="apple-converted-space"/>
          <w:rFonts w:ascii="Arial" w:hAnsi="Arial" w:cs="Arial"/>
          <w:color w:val="000000"/>
          <w:sz w:val="22"/>
          <w:szCs w:val="22"/>
        </w:rPr>
        <w:t> </w:t>
      </w:r>
      <w:bookmarkEnd w:id="121"/>
      <w:r>
        <w:rPr>
          <w:rFonts w:ascii="Arial" w:hAnsi="Arial" w:cs="Arial"/>
          <w:color w:val="000000"/>
          <w:sz w:val="22"/>
          <w:szCs w:val="22"/>
        </w:rPr>
        <w:t>Il Tribunale ha osservato per la prima volta, al punto 169 della sentenza impugnata, che, secondo una giurisprudenza consolidata, la soppressione di un aiuto di Stato illecito mediante recupero è la conseguenza logica della constatazione che tale aiuto è illegale. L'obiettivo di obbligare lo Stato membro interessato ad abolire gli aiuti ritenuti incompatibili con il mercato comune dalla Commissione è quello di ripristinare la situazione precedente, facendo sì che il beneficiario perdesse il vantaggio di cui aveva goduto rispetto ai suoi concorrenti (v. causa C</w:t>
      </w:r>
      <w:r>
        <w:rPr>
          <w:rFonts w:ascii="Cambria Math" w:hAnsi="Cambria Math" w:cs="Cambria Math"/>
          <w:color w:val="000000"/>
          <w:sz w:val="22"/>
          <w:szCs w:val="22"/>
        </w:rPr>
        <w:t>‐</w:t>
      </w:r>
      <w:r>
        <w:rPr>
          <w:rFonts w:ascii="Arial" w:hAnsi="Arial" w:cs="Arial"/>
          <w:color w:val="000000"/>
          <w:sz w:val="22"/>
          <w:szCs w:val="22"/>
        </w:rPr>
        <w:t>310/99</w:t>
      </w:r>
      <w:r>
        <w:rPr>
          <w:rStyle w:val="apple-converted-space"/>
          <w:rFonts w:ascii="Arial" w:hAnsi="Arial" w:cs="Arial"/>
          <w:color w:val="000000"/>
          <w:sz w:val="22"/>
          <w:szCs w:val="22"/>
        </w:rPr>
        <w:t> </w:t>
      </w:r>
      <w:r>
        <w:rPr>
          <w:rFonts w:ascii="Arial" w:hAnsi="Arial" w:cs="Arial"/>
          <w:i/>
          <w:iCs/>
          <w:color w:val="000000"/>
          <w:sz w:val="22"/>
          <w:szCs w:val="22"/>
        </w:rPr>
        <w:t>Italia</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[2002] Racc. I-2289, punto 99, e causa</w:t>
      </w:r>
    </w:p>
    <w:p w14:paraId="46C298F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2" w:name="point123"/>
      <w:r>
        <w:rPr>
          <w:rFonts w:ascii="Arial" w:hAnsi="Arial" w:cs="Arial"/>
          <w:color w:val="000000"/>
          <w:sz w:val="22"/>
          <w:szCs w:val="22"/>
        </w:rPr>
        <w:t>123</w:t>
      </w:r>
      <w:r>
        <w:rPr>
          <w:rStyle w:val="apple-converted-space"/>
          <w:rFonts w:ascii="Arial" w:hAnsi="Arial" w:cs="Arial"/>
          <w:color w:val="000000"/>
          <w:sz w:val="22"/>
          <w:szCs w:val="22"/>
        </w:rPr>
        <w:t> </w:t>
      </w:r>
      <w:bookmarkEnd w:id="122"/>
      <w:r>
        <w:rPr>
          <w:rFonts w:ascii="Arial" w:hAnsi="Arial" w:cs="Arial"/>
          <w:color w:val="000000"/>
          <w:sz w:val="22"/>
          <w:szCs w:val="22"/>
        </w:rPr>
        <w:t>Pertanto, ai sensi dell'articolo 14, paragrafo 1, del regolamento (CE) n. 659/1999, «in caso di decisioni negative in caso di aiuto illecito, la Commissione decide che lo Stato membro interessato adotta tutte le misure necessarie per recuperare l'aiuto dal beneficiario ... La Commissione non esiedisce il recupero dell'aiuto se ciò sarebbe contrario a un principio generale del diritto comunitario». L'articolo 14, paragrafo 3, di tale regolamento specifica che «... il recupero deve essere effettuato senza indugio e secondo le procedure previste dal diritto nazionale dello Stato membro interessato, a condizione che consentano l’esecuzione immediata ed efficace della decisione della Commissione. A tal fine e in caso di procedimento dinanzi a giudici nazionali, gli Stati membri interessati adotta tutte le misure necessarie disponibili nei rispettivi sistemi giuridici, comprese le misure provvisorie, fatte salve il diritto comunitario».</w:t>
      </w:r>
    </w:p>
    <w:p w14:paraId="327419F2"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3" w:name="point124"/>
      <w:r>
        <w:rPr>
          <w:rFonts w:ascii="Arial" w:hAnsi="Arial" w:cs="Arial"/>
          <w:color w:val="000000"/>
          <w:sz w:val="22"/>
          <w:szCs w:val="22"/>
        </w:rPr>
        <w:t>124</w:t>
      </w:r>
      <w:r>
        <w:rPr>
          <w:rStyle w:val="apple-converted-space"/>
          <w:rFonts w:ascii="Arial" w:hAnsi="Arial" w:cs="Arial"/>
          <w:color w:val="000000"/>
          <w:sz w:val="22"/>
          <w:szCs w:val="22"/>
        </w:rPr>
        <w:t> </w:t>
      </w:r>
      <w:bookmarkEnd w:id="123"/>
      <w:r>
        <w:rPr>
          <w:rFonts w:ascii="Arial" w:hAnsi="Arial" w:cs="Arial"/>
          <w:color w:val="000000"/>
          <w:sz w:val="22"/>
          <w:szCs w:val="22"/>
        </w:rPr>
        <w:t>Di conseguenza, la Commissione è sempre obbligata a ordinare il recupero degli aiuti che dichiara incompatibili con il mercato comune, a meno che tale recupero non sia contrario a un principio generale del diritto dell'UE.</w:t>
      </w:r>
    </w:p>
    <w:p w14:paraId="2B14324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4" w:name="point125"/>
      <w:r>
        <w:rPr>
          <w:rFonts w:ascii="Arial" w:hAnsi="Arial" w:cs="Arial"/>
          <w:color w:val="000000"/>
          <w:sz w:val="22"/>
          <w:szCs w:val="22"/>
        </w:rPr>
        <w:t>125</w:t>
      </w:r>
      <w:r>
        <w:rPr>
          <w:rStyle w:val="apple-converted-space"/>
          <w:rFonts w:ascii="Arial" w:hAnsi="Arial" w:cs="Arial"/>
          <w:color w:val="000000"/>
          <w:sz w:val="22"/>
          <w:szCs w:val="22"/>
        </w:rPr>
        <w:t> </w:t>
      </w:r>
      <w:bookmarkEnd w:id="124"/>
      <w:r>
        <w:rPr>
          <w:rFonts w:ascii="Arial" w:hAnsi="Arial" w:cs="Arial"/>
          <w:color w:val="000000"/>
          <w:sz w:val="22"/>
          <w:szCs w:val="22"/>
        </w:rPr>
        <w:t>Tuttavia, Mediaset esprime l'opinione che il principio della certezza del diritto osta, nel caso di specie, il recupero dell'aiuto illecito perché le disposizioni della decisione impugnata non consentono di stabilire un'adeguata metodologia di recupero. Il Tribunale ha quindi commesso un errore di diritto, secondo Mediaset, nell'applicazione di tale principio ritenendo che tale principio non precludeva il recupero nelle circostanze del presente caso.</w:t>
      </w:r>
    </w:p>
    <w:p w14:paraId="40DAA890"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5" w:name="point126"/>
      <w:r>
        <w:rPr>
          <w:rFonts w:ascii="Arial" w:hAnsi="Arial" w:cs="Arial"/>
          <w:color w:val="000000"/>
          <w:sz w:val="22"/>
          <w:szCs w:val="22"/>
        </w:rPr>
        <w:t>126</w:t>
      </w:r>
      <w:r>
        <w:rPr>
          <w:rStyle w:val="apple-converted-space"/>
          <w:rFonts w:ascii="Arial" w:hAnsi="Arial" w:cs="Arial"/>
          <w:color w:val="000000"/>
          <w:sz w:val="22"/>
          <w:szCs w:val="22"/>
        </w:rPr>
        <w:t> </w:t>
      </w:r>
      <w:bookmarkEnd w:id="125"/>
      <w:r>
        <w:rPr>
          <w:rFonts w:ascii="Arial" w:hAnsi="Arial" w:cs="Arial"/>
          <w:color w:val="000000"/>
          <w:sz w:val="22"/>
          <w:szCs w:val="22"/>
        </w:rPr>
        <w:t>A tale proposito, il Tribunale ha giustamente sottolineato, ai punti da 181 a 183 della sentenza impugnata, che nessuna disposizione del diritto dell'Unione impone alla Commissione, al momento di ordinare il recupero di un aiuto dichiarato incompatibile con il mercato comune, di fissare l'importo esatto dell'aiuto da recuperare. È sufficiente che la decisione della Commissione includa informazioni che consentano al destinatario della decisione di elaborare da solo, senza ulteriori difficoltà, tale importo (v., tra l’altro, causa C</w:t>
      </w:r>
      <w:r>
        <w:rPr>
          <w:rFonts w:ascii="Cambria Math" w:hAnsi="Cambria Math" w:cs="Cambria Math"/>
          <w:color w:val="000000"/>
          <w:sz w:val="22"/>
          <w:szCs w:val="22"/>
        </w:rPr>
        <w:t>‐</w:t>
      </w:r>
      <w:r>
        <w:rPr>
          <w:rFonts w:ascii="Arial" w:hAnsi="Arial" w:cs="Arial"/>
          <w:color w:val="000000"/>
          <w:sz w:val="22"/>
          <w:szCs w:val="22"/>
        </w:rPr>
        <w:t>480/98</w:t>
      </w:r>
      <w:r>
        <w:rPr>
          <w:rStyle w:val="apple-converted-space"/>
          <w:rFonts w:ascii="Arial" w:hAnsi="Arial" w:cs="Arial"/>
          <w:color w:val="000000"/>
          <w:sz w:val="22"/>
          <w:szCs w:val="22"/>
        </w:rPr>
        <w:t> </w:t>
      </w:r>
      <w:r>
        <w:rPr>
          <w:rFonts w:ascii="Arial" w:hAnsi="Arial" w:cs="Arial"/>
          <w:i/>
          <w:iCs/>
          <w:color w:val="000000"/>
          <w:sz w:val="22"/>
          <w:szCs w:val="22"/>
        </w:rPr>
        <w:t>Spagna</w:t>
      </w:r>
      <w:r>
        <w:rPr>
          <w:rFonts w:ascii="Arial" w:hAnsi="Arial" w:cs="Arial"/>
          <w:color w:val="000000"/>
          <w:sz w:val="22"/>
          <w:szCs w:val="22"/>
        </w:rPr>
        <w:t>/</w:t>
      </w:r>
      <w:r>
        <w:rPr>
          <w:rFonts w:ascii="Arial" w:hAnsi="Arial" w:cs="Arial"/>
          <w:i/>
          <w:iCs/>
          <w:color w:val="000000"/>
          <w:sz w:val="22"/>
          <w:szCs w:val="22"/>
        </w:rPr>
        <w:t>Commissione</w:t>
      </w:r>
      <w:r>
        <w:rPr>
          <w:rStyle w:val="apple-converted-space"/>
          <w:rFonts w:ascii="Arial" w:hAnsi="Arial" w:cs="Arial"/>
          <w:i/>
          <w:iCs/>
          <w:color w:val="000000"/>
          <w:sz w:val="22"/>
          <w:szCs w:val="22"/>
        </w:rPr>
        <w:t> </w:t>
      </w:r>
      <w:r>
        <w:rPr>
          <w:rFonts w:ascii="Arial" w:hAnsi="Arial" w:cs="Arial"/>
          <w:color w:val="000000"/>
          <w:sz w:val="22"/>
          <w:szCs w:val="22"/>
        </w:rPr>
        <w:t>[2000] Racc. Racc. I-8717, punto 25, e causa C</w:t>
      </w:r>
      <w:r>
        <w:rPr>
          <w:rFonts w:ascii="Cambria Math" w:hAnsi="Cambria Math" w:cs="Cambria Math"/>
          <w:color w:val="000000"/>
          <w:sz w:val="22"/>
          <w:szCs w:val="22"/>
        </w:rPr>
        <w:t>‐</w:t>
      </w:r>
      <w:r>
        <w:rPr>
          <w:rFonts w:ascii="Arial" w:hAnsi="Arial" w:cs="Arial"/>
          <w:color w:val="000000"/>
          <w:sz w:val="22"/>
          <w:szCs w:val="22"/>
        </w:rPr>
        <w:t>441/06</w:t>
      </w:r>
      <w:r>
        <w:rPr>
          <w:rFonts w:ascii="Arial" w:hAnsi="Arial" w:cs="Arial"/>
          <w:i/>
          <w:iCs/>
          <w:color w:val="000000"/>
          <w:sz w:val="22"/>
          <w:szCs w:val="22"/>
        </w:rPr>
        <w:t>, Commissione</w:t>
      </w:r>
      <w:r>
        <w:rPr>
          <w:rFonts w:ascii="Arial" w:hAnsi="Arial" w:cs="Arial"/>
          <w:color w:val="000000"/>
          <w:sz w:val="22"/>
          <w:szCs w:val="22"/>
        </w:rPr>
        <w:t>/</w:t>
      </w:r>
      <w:r>
        <w:rPr>
          <w:rFonts w:ascii="Arial" w:hAnsi="Arial" w:cs="Arial"/>
          <w:i/>
          <w:iCs/>
          <w:color w:val="000000"/>
          <w:sz w:val="22"/>
          <w:szCs w:val="22"/>
        </w:rPr>
        <w:t>Francia</w:t>
      </w:r>
      <w:r>
        <w:rPr>
          <w:rFonts w:ascii="Arial" w:hAnsi="Arial" w:cs="Arial"/>
          <w:color w:val="000000"/>
          <w:sz w:val="22"/>
          <w:szCs w:val="22"/>
        </w:rPr>
        <w:t>, Racc. Il recupero degli aiuti dichiarati incompatibili con il mercato comune deve essere effettuato conformemente alle norme e alle procedure previste dal diritto nazionale (causa C</w:t>
      </w:r>
      <w:r>
        <w:rPr>
          <w:rFonts w:ascii="Cambria Math" w:hAnsi="Cambria Math" w:cs="Cambria Math"/>
          <w:color w:val="000000"/>
          <w:sz w:val="22"/>
          <w:szCs w:val="22"/>
        </w:rPr>
        <w:t>‐</w:t>
      </w:r>
      <w:r>
        <w:rPr>
          <w:rFonts w:ascii="Arial" w:hAnsi="Arial" w:cs="Arial"/>
          <w:color w:val="000000"/>
          <w:sz w:val="22"/>
          <w:szCs w:val="22"/>
        </w:rPr>
        <w:t>382/99,</w:t>
      </w:r>
      <w:r>
        <w:rPr>
          <w:rStyle w:val="apple-converted-space"/>
          <w:rFonts w:ascii="Arial" w:hAnsi="Arial" w:cs="Arial"/>
          <w:color w:val="000000"/>
          <w:sz w:val="22"/>
          <w:szCs w:val="22"/>
        </w:rPr>
        <w:t> </w:t>
      </w:r>
      <w:r>
        <w:rPr>
          <w:rFonts w:ascii="Arial" w:hAnsi="Arial" w:cs="Arial"/>
          <w:i/>
          <w:iCs/>
          <w:color w:val="000000"/>
          <w:sz w:val="22"/>
          <w:szCs w:val="22"/>
        </w:rPr>
        <w:t>Netherlands</w:t>
      </w:r>
      <w:r>
        <w:rPr>
          <w:rStyle w:val="apple-converted-space"/>
          <w:rFonts w:ascii="Arial" w:hAnsi="Arial" w:cs="Arial"/>
          <w:i/>
          <w:iCs/>
          <w:color w:val="000000"/>
          <w:sz w:val="22"/>
          <w:szCs w:val="22"/>
        </w:rPr>
        <w:t> </w:t>
      </w:r>
      <w:r>
        <w:rPr>
          <w:rFonts w:ascii="Arial" w:hAnsi="Arial" w:cs="Arial"/>
          <w:color w:val="000000"/>
          <w:sz w:val="22"/>
          <w:szCs w:val="22"/>
        </w:rPr>
        <w:t>V</w:t>
      </w:r>
      <w:r>
        <w:rPr>
          <w:rStyle w:val="apple-converted-space"/>
          <w:rFonts w:ascii="Arial" w:hAnsi="Arial" w:cs="Arial"/>
          <w:color w:val="000000"/>
          <w:sz w:val="22"/>
          <w:szCs w:val="22"/>
        </w:rPr>
        <w:t> </w:t>
      </w:r>
      <w:r>
        <w:rPr>
          <w:rFonts w:ascii="Arial" w:hAnsi="Arial" w:cs="Arial"/>
          <w:i/>
          <w:iCs/>
          <w:color w:val="000000"/>
          <w:sz w:val="22"/>
          <w:szCs w:val="22"/>
        </w:rPr>
        <w:t>Commission</w:t>
      </w:r>
      <w:r>
        <w:rPr>
          <w:rFonts w:ascii="Arial" w:hAnsi="Arial" w:cs="Arial"/>
          <w:color w:val="000000"/>
          <w:sz w:val="22"/>
          <w:szCs w:val="22"/>
        </w:rPr>
        <w:t>, Racc. 2002, pag. I-5163, punto 90 e giurisprudenza citata). Inoltre, l'obbligo per uno Stato membro di calcolare l'importo esatto degli aiuti da recuperare fa parte dell'obbligo reciproco più generale che incombe alla Commissione e agli Stati membri di una cooperazione sincera nell'attuazione delle norme del trattato in materia di aiuti di Stato (</w:t>
      </w:r>
      <w:r>
        <w:rPr>
          <w:rFonts w:ascii="Arial" w:hAnsi="Arial" w:cs="Arial"/>
          <w:i/>
          <w:iCs/>
          <w:color w:val="000000"/>
          <w:sz w:val="22"/>
          <w:szCs w:val="22"/>
        </w:rPr>
        <w:t>Paesi Bassi</w:t>
      </w:r>
      <w:r>
        <w:rPr>
          <w:rFonts w:ascii="Arial" w:hAnsi="Arial" w:cs="Arial"/>
          <w:color w:val="000000"/>
          <w:sz w:val="22"/>
          <w:szCs w:val="22"/>
        </w:rPr>
        <w:t>/</w:t>
      </w:r>
      <w:r>
        <w:rPr>
          <w:rFonts w:ascii="Arial" w:hAnsi="Arial" w:cs="Arial"/>
          <w:i/>
          <w:iCs/>
          <w:color w:val="000000"/>
          <w:sz w:val="22"/>
          <w:szCs w:val="22"/>
        </w:rPr>
        <w:t>Commissione</w:t>
      </w:r>
      <w:r>
        <w:rPr>
          <w:rFonts w:ascii="Arial" w:hAnsi="Arial" w:cs="Arial"/>
          <w:color w:val="000000"/>
          <w:sz w:val="22"/>
          <w:szCs w:val="22"/>
        </w:rPr>
        <w:t>, punto 91).</w:t>
      </w:r>
    </w:p>
    <w:p w14:paraId="1F81681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6" w:name="point127"/>
      <w:r>
        <w:rPr>
          <w:rFonts w:ascii="Arial" w:hAnsi="Arial" w:cs="Arial"/>
          <w:color w:val="000000"/>
          <w:sz w:val="22"/>
          <w:szCs w:val="22"/>
        </w:rPr>
        <w:t>127</w:t>
      </w:r>
      <w:r>
        <w:rPr>
          <w:rStyle w:val="apple-converted-space"/>
          <w:rFonts w:ascii="Arial" w:hAnsi="Arial" w:cs="Arial"/>
          <w:color w:val="000000"/>
          <w:sz w:val="22"/>
          <w:szCs w:val="22"/>
        </w:rPr>
        <w:t> </w:t>
      </w:r>
      <w:bookmarkEnd w:id="126"/>
      <w:r>
        <w:rPr>
          <w:rFonts w:ascii="Arial" w:hAnsi="Arial" w:cs="Arial"/>
          <w:color w:val="000000"/>
          <w:sz w:val="22"/>
          <w:szCs w:val="22"/>
        </w:rPr>
        <w:t>Pertanto, conformemente alla giurisprudenza della Corte, la Commissione può legittimamente limitarsi a dichiarare che esiste l'obbligo di rimborsare l'aiuto in questione e lasciare che le autorità nazionali calcolino gli importi esatti da rimborsare (causa C</w:t>
      </w:r>
      <w:r>
        <w:rPr>
          <w:rFonts w:ascii="Cambria Math" w:hAnsi="Cambria Math" w:cs="Cambria Math"/>
          <w:color w:val="000000"/>
          <w:sz w:val="22"/>
          <w:szCs w:val="22"/>
        </w:rPr>
        <w:t>‐</w:t>
      </w:r>
      <w:r>
        <w:rPr>
          <w:rFonts w:ascii="Arial" w:hAnsi="Arial" w:cs="Arial"/>
          <w:color w:val="000000"/>
          <w:sz w:val="22"/>
          <w:szCs w:val="22"/>
        </w:rPr>
        <w:t>415/03</w:t>
      </w:r>
      <w:r>
        <w:rPr>
          <w:rFonts w:ascii="Arial" w:hAnsi="Arial" w:cs="Arial"/>
          <w:i/>
          <w:iCs/>
          <w:color w:val="000000"/>
          <w:sz w:val="22"/>
          <w:szCs w:val="22"/>
        </w:rPr>
        <w:t>, Commissione</w:t>
      </w:r>
      <w:r>
        <w:rPr>
          <w:rFonts w:ascii="Arial" w:hAnsi="Arial" w:cs="Arial"/>
          <w:color w:val="000000"/>
          <w:sz w:val="22"/>
          <w:szCs w:val="22"/>
        </w:rPr>
        <w:t>/</w:t>
      </w:r>
      <w:r>
        <w:rPr>
          <w:rFonts w:ascii="Arial" w:hAnsi="Arial" w:cs="Arial"/>
          <w:i/>
          <w:iCs/>
          <w:color w:val="000000"/>
          <w:sz w:val="22"/>
          <w:szCs w:val="22"/>
        </w:rPr>
        <w:t>Grecia</w:t>
      </w:r>
      <w:r>
        <w:rPr>
          <w:rFonts w:ascii="Arial" w:hAnsi="Arial" w:cs="Arial"/>
          <w:color w:val="000000"/>
          <w:sz w:val="22"/>
          <w:szCs w:val="22"/>
        </w:rPr>
        <w:t>, Racc. 2008, pag. I-3875, punto 40).</w:t>
      </w:r>
    </w:p>
    <w:p w14:paraId="42822027"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7" w:name="point128"/>
      <w:r>
        <w:rPr>
          <w:rFonts w:ascii="Arial" w:hAnsi="Arial" w:cs="Arial"/>
          <w:color w:val="000000"/>
          <w:sz w:val="22"/>
          <w:szCs w:val="22"/>
        </w:rPr>
        <w:t>128</w:t>
      </w:r>
      <w:r>
        <w:rPr>
          <w:rStyle w:val="apple-converted-space"/>
          <w:rFonts w:ascii="Arial" w:hAnsi="Arial" w:cs="Arial"/>
          <w:color w:val="000000"/>
          <w:sz w:val="22"/>
          <w:szCs w:val="22"/>
        </w:rPr>
        <w:t> </w:t>
      </w:r>
      <w:bookmarkEnd w:id="127"/>
      <w:r>
        <w:rPr>
          <w:rFonts w:ascii="Arial" w:hAnsi="Arial" w:cs="Arial"/>
          <w:color w:val="000000"/>
          <w:sz w:val="22"/>
          <w:szCs w:val="22"/>
        </w:rPr>
        <w:t>Alla luce di quanto precede, il Tribunale non ha commesso alcun errore giuridico nel ritenere, ai punti 184 e 185 della sentenza impugnata, che è il giudice nazionale, se dinanzi a una causa, si pronuncia sull’importo dell’aiuto da recuperare, respingendo in tal modo l’argomentazione di Mediaset relativa a una violazione del principio di certezza del diritto.</w:t>
      </w:r>
    </w:p>
    <w:p w14:paraId="1518590E"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8" w:name="point129"/>
      <w:r>
        <w:rPr>
          <w:rFonts w:ascii="Arial" w:hAnsi="Arial" w:cs="Arial"/>
          <w:color w:val="000000"/>
          <w:sz w:val="22"/>
          <w:szCs w:val="22"/>
        </w:rPr>
        <w:t>129</w:t>
      </w:r>
      <w:r>
        <w:rPr>
          <w:rStyle w:val="apple-converted-space"/>
          <w:rFonts w:ascii="Arial" w:hAnsi="Arial" w:cs="Arial"/>
          <w:color w:val="000000"/>
          <w:sz w:val="22"/>
          <w:szCs w:val="22"/>
        </w:rPr>
        <w:t> </w:t>
      </w:r>
      <w:bookmarkEnd w:id="128"/>
      <w:r>
        <w:rPr>
          <w:rFonts w:ascii="Arial" w:hAnsi="Arial" w:cs="Arial"/>
          <w:color w:val="000000"/>
          <w:sz w:val="22"/>
          <w:szCs w:val="22"/>
        </w:rPr>
        <w:t>Nella misura in cui Mediaset sostiene che era effettivamente impossibile o, almeno, eccessivamente difficile, ai sensi della giurisprudenza citata al punto 126 della presente sentenza, stabilire una metodologia adeguata per il recupero dell'aiuto in questione sulla base della decisione impugnata, è chiaro che ciò solleva questioni di valutazione fattuale per le quali solo il Tribunale è competente, conformemente alla giurisprudenza citata al punto 73 della presente Nella misura in cui Mediaset sostiene che il Tribunale non ha esaminato la presunta impossibilità nella sentenza impugnata, Mediaset sostiene, in sostanza, che tale sentenza è viziata da una motivazione inadeguata.</w:t>
      </w:r>
    </w:p>
    <w:p w14:paraId="621D1C3D"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29" w:name="point130"/>
      <w:r>
        <w:rPr>
          <w:rFonts w:ascii="Arial" w:hAnsi="Arial" w:cs="Arial"/>
          <w:color w:val="000000"/>
          <w:sz w:val="22"/>
          <w:szCs w:val="22"/>
        </w:rPr>
        <w:t>130</w:t>
      </w:r>
      <w:r>
        <w:rPr>
          <w:rStyle w:val="apple-converted-space"/>
          <w:rFonts w:ascii="Arial" w:hAnsi="Arial" w:cs="Arial"/>
          <w:color w:val="000000"/>
          <w:sz w:val="22"/>
          <w:szCs w:val="22"/>
        </w:rPr>
        <w:t> </w:t>
      </w:r>
      <w:bookmarkEnd w:id="129"/>
      <w:r>
        <w:rPr>
          <w:rFonts w:ascii="Arial" w:hAnsi="Arial" w:cs="Arial"/>
          <w:color w:val="000000"/>
          <w:sz w:val="22"/>
          <w:szCs w:val="22"/>
        </w:rPr>
        <w:t>A tale riguardo, va sottolineato che, conformemente alla giurisprudenza citata al punto 88 della presente sentenza, l'obbligo di motivazione non impone al Tribunale di fornire un resoconto che affronti in modo esaustivo, uno dopo l'altro, tutti gli argomenti avanzati dalle parti del caso. Dai punti da 126 a 128 della presente sentenza, in cui la Corte ha riesaminato la legittimità dei punti da 181 a 184 della sentenza impugnata, risulta che il Tribunale non ha commesso alcun errore di diritto nel dichiarare che era tostare dal giudice nazionale determinare l'importo dell'aiuto da recuperare. Stando così le cose, e tenendo conto del fatto, esatto al punto 12 della sentenza impugnata, che la Commissione ha offerto orientamenti nella decisione impugnata, in particolare nei suoi considerando da 191 a 207, sulla metodo di calcolo dell’importo dell’aiuto da recuperare, si deve concludere che la motivazione del Tribunale di tale aspetto della sentenza impugnata soddisfa il principio giuridico richiesto.</w:t>
      </w:r>
    </w:p>
    <w:p w14:paraId="11D14C2B"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30" w:name="point131"/>
      <w:r>
        <w:rPr>
          <w:rFonts w:ascii="Arial" w:hAnsi="Arial" w:cs="Arial"/>
          <w:color w:val="000000"/>
          <w:sz w:val="22"/>
          <w:szCs w:val="22"/>
        </w:rPr>
        <w:t>131</w:t>
      </w:r>
      <w:r>
        <w:rPr>
          <w:rStyle w:val="apple-converted-space"/>
          <w:rFonts w:ascii="Arial" w:hAnsi="Arial" w:cs="Arial"/>
          <w:color w:val="000000"/>
          <w:sz w:val="22"/>
          <w:szCs w:val="22"/>
        </w:rPr>
        <w:t> </w:t>
      </w:r>
      <w:bookmarkEnd w:id="130"/>
      <w:r>
        <w:rPr>
          <w:rFonts w:ascii="Arial" w:hAnsi="Arial" w:cs="Arial"/>
          <w:color w:val="000000"/>
          <w:sz w:val="22"/>
          <w:szCs w:val="22"/>
        </w:rPr>
        <w:t>Alla luce di quanto precede, l'ottavo motivo di ricorso deve essere respinto.</w:t>
      </w:r>
    </w:p>
    <w:p w14:paraId="2563D8B4"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31" w:name="point132"/>
      <w:r>
        <w:rPr>
          <w:rFonts w:ascii="Arial" w:hAnsi="Arial" w:cs="Arial"/>
          <w:color w:val="000000"/>
          <w:sz w:val="22"/>
          <w:szCs w:val="22"/>
        </w:rPr>
        <w:t>132</w:t>
      </w:r>
      <w:r>
        <w:rPr>
          <w:rStyle w:val="apple-converted-space"/>
          <w:rFonts w:ascii="Arial" w:hAnsi="Arial" w:cs="Arial"/>
          <w:color w:val="000000"/>
          <w:sz w:val="22"/>
          <w:szCs w:val="22"/>
        </w:rPr>
        <w:t> </w:t>
      </w:r>
      <w:bookmarkEnd w:id="131"/>
      <w:r>
        <w:rPr>
          <w:rFonts w:ascii="Arial" w:hAnsi="Arial" w:cs="Arial"/>
          <w:color w:val="000000"/>
          <w:sz w:val="22"/>
          <w:szCs w:val="22"/>
        </w:rPr>
        <w:t>Poiché tutti i motivi di ricorso avanzati da Mediaset sono stati respinti, il ricorso deve essere respinto nella sua interezza.</w:t>
      </w:r>
    </w:p>
    <w:p w14:paraId="027D2505" w14:textId="77777777" w:rsidR="007B6988" w:rsidRDefault="007B6988" w:rsidP="007B6988">
      <w:pPr>
        <w:pStyle w:val="c04titre1"/>
        <w:spacing w:before="480" w:beforeAutospacing="0" w:after="240" w:afterAutospacing="0"/>
        <w:ind w:left="567"/>
        <w:jc w:val="both"/>
        <w:rPr>
          <w:rFonts w:ascii="Arial" w:hAnsi="Arial" w:cs="Arial"/>
          <w:b/>
          <w:bCs/>
          <w:color w:val="000000"/>
          <w:sz w:val="22"/>
          <w:szCs w:val="22"/>
        </w:rPr>
      </w:pPr>
      <w:r>
        <w:rPr>
          <w:rFonts w:ascii="Arial" w:hAnsi="Arial" w:cs="Arial"/>
          <w:b/>
          <w:bCs/>
          <w:color w:val="000000"/>
          <w:sz w:val="22"/>
          <w:szCs w:val="22"/>
        </w:rPr>
        <w:t> Costi</w:t>
      </w:r>
    </w:p>
    <w:p w14:paraId="1601EA11" w14:textId="77777777"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32" w:name="point133"/>
      <w:r>
        <w:rPr>
          <w:rFonts w:ascii="Arial" w:hAnsi="Arial" w:cs="Arial"/>
          <w:color w:val="000000"/>
          <w:sz w:val="22"/>
          <w:szCs w:val="22"/>
        </w:rPr>
        <w:t>133</w:t>
      </w:r>
      <w:r>
        <w:rPr>
          <w:rStyle w:val="apple-converted-space"/>
          <w:rFonts w:ascii="Arial" w:hAnsi="Arial" w:cs="Arial"/>
          <w:color w:val="000000"/>
          <w:sz w:val="22"/>
          <w:szCs w:val="22"/>
        </w:rPr>
        <w:t> </w:t>
      </w:r>
      <w:bookmarkEnd w:id="132"/>
      <w:r>
        <w:rPr>
          <w:rFonts w:ascii="Arial" w:hAnsi="Arial" w:cs="Arial"/>
          <w:color w:val="000000"/>
          <w:sz w:val="22"/>
          <w:szCs w:val="22"/>
        </w:rPr>
        <w:t>Ai sensi dell'articolo 122, primo comma, del regolamento di procedura, qualora il ricorso sia infondato, la Corte di giustizia deve prendere una decisione in merito alle spese. Ai sensi dell'articolo 69, paragrafo 2, del regolamento di procedura, che si applica ai procedimenti di appello ai sensi dell'articolo 118 di tale regolamento, alla parte insuccesso è ordinato di pagare le spese se sono state richieste nelle memorie della parte accolta.</w:t>
      </w:r>
    </w:p>
    <w:p w14:paraId="78FF1B57" w14:textId="146F3EA2" w:rsidR="007B6988" w:rsidRDefault="007B6988" w:rsidP="007B6988">
      <w:pPr>
        <w:pStyle w:val="c01pointnumerotealtn"/>
        <w:spacing w:after="240" w:afterAutospacing="0"/>
        <w:ind w:left="567" w:hanging="539"/>
        <w:jc w:val="both"/>
        <w:rPr>
          <w:rFonts w:ascii="Arial" w:hAnsi="Arial" w:cs="Arial"/>
          <w:color w:val="000000"/>
          <w:sz w:val="22"/>
          <w:szCs w:val="22"/>
        </w:rPr>
      </w:pPr>
      <w:bookmarkStart w:id="133" w:name="point134"/>
      <w:r>
        <w:rPr>
          <w:rFonts w:ascii="Arial" w:hAnsi="Arial" w:cs="Arial"/>
          <w:color w:val="000000"/>
          <w:sz w:val="22"/>
          <w:szCs w:val="22"/>
        </w:rPr>
        <w:t>134</w:t>
      </w:r>
      <w:r>
        <w:rPr>
          <w:rStyle w:val="apple-converted-space"/>
          <w:rFonts w:ascii="Arial" w:hAnsi="Arial" w:cs="Arial"/>
          <w:color w:val="000000"/>
          <w:sz w:val="22"/>
          <w:szCs w:val="22"/>
        </w:rPr>
        <w:t> </w:t>
      </w:r>
      <w:bookmarkEnd w:id="133"/>
      <w:r>
        <w:rPr>
          <w:rFonts w:ascii="Arial" w:hAnsi="Arial" w:cs="Arial"/>
          <w:color w:val="000000"/>
          <w:sz w:val="22"/>
          <w:szCs w:val="22"/>
        </w:rPr>
        <w:t>Poiché in questo caso Mediaset non ha avuto successo, deve essere condannato a sostenere le proprie spese e a pagare le spese sostenute dalla Commissione e da Sky Italia, secondo le forme di ordinanza da esse richieste.</w:t>
      </w:r>
      <w:r>
        <w:rPr>
          <w:rFonts w:ascii="Arial" w:hAnsi="Arial" w:cs="Arial"/>
          <w:color w:val="000000"/>
          <w:sz w:val="22"/>
          <w:szCs w:val="22"/>
        </w:rPr>
        <w:t xml:space="preserve"> </w:t>
      </w:r>
      <w:r>
        <w:rPr>
          <w:rFonts w:ascii="Arial" w:hAnsi="Arial" w:cs="Arial"/>
          <w:color w:val="000000"/>
          <w:sz w:val="22"/>
          <w:szCs w:val="22"/>
        </w:rPr>
        <w:t>Per tali motivi, la Corte (Terza Sezione) con la presente:</w:t>
      </w:r>
    </w:p>
    <w:p w14:paraId="6DC8E0F9" w14:textId="77777777" w:rsidR="007B6988" w:rsidRDefault="007B6988" w:rsidP="007B6988">
      <w:pPr>
        <w:pStyle w:val="c08dispositif"/>
        <w:spacing w:after="240" w:afterAutospacing="0"/>
        <w:ind w:left="1134" w:hanging="567"/>
        <w:jc w:val="both"/>
        <w:rPr>
          <w:rFonts w:ascii="Arial" w:hAnsi="Arial" w:cs="Arial"/>
          <w:b/>
          <w:bCs/>
          <w:color w:val="000000"/>
          <w:sz w:val="22"/>
          <w:szCs w:val="22"/>
        </w:rPr>
      </w:pPr>
      <w:r>
        <w:rPr>
          <w:rFonts w:ascii="Arial" w:hAnsi="Arial" w:cs="Arial"/>
          <w:b/>
          <w:bCs/>
          <w:color w:val="000000"/>
          <w:sz w:val="22"/>
          <w:szCs w:val="22"/>
        </w:rPr>
        <w:t>1.</w:t>
      </w:r>
      <w:r>
        <w:rPr>
          <w:rStyle w:val="apple-converted-space"/>
          <w:rFonts w:ascii="Arial" w:hAnsi="Arial" w:cs="Arial"/>
          <w:b/>
          <w:bCs/>
          <w:color w:val="000000"/>
          <w:sz w:val="22"/>
          <w:szCs w:val="22"/>
        </w:rPr>
        <w:t> </w:t>
      </w:r>
      <w:r>
        <w:rPr>
          <w:rFonts w:ascii="Arial" w:hAnsi="Arial" w:cs="Arial"/>
          <w:b/>
          <w:bCs/>
          <w:color w:val="000000"/>
          <w:sz w:val="22"/>
          <w:szCs w:val="22"/>
        </w:rPr>
        <w:t>Respinge l'appello;</w:t>
      </w:r>
    </w:p>
    <w:p w14:paraId="4E6BA0C6" w14:textId="636E612E" w:rsidR="007B6988" w:rsidRDefault="007B6988" w:rsidP="007B6988">
      <w:pPr>
        <w:pStyle w:val="c08dispositif"/>
        <w:spacing w:after="240" w:afterAutospacing="0"/>
        <w:ind w:left="1134" w:hanging="567"/>
        <w:jc w:val="both"/>
        <w:rPr>
          <w:rFonts w:ascii="Arial" w:hAnsi="Arial" w:cs="Arial"/>
          <w:b/>
          <w:bCs/>
          <w:color w:val="000000"/>
          <w:sz w:val="22"/>
          <w:szCs w:val="22"/>
        </w:rPr>
      </w:pPr>
      <w:r>
        <w:rPr>
          <w:rFonts w:ascii="Arial" w:hAnsi="Arial" w:cs="Arial"/>
          <w:b/>
          <w:bCs/>
          <w:color w:val="000000"/>
          <w:sz w:val="22"/>
          <w:szCs w:val="22"/>
        </w:rPr>
        <w:t>2.</w:t>
      </w:r>
      <w:r>
        <w:rPr>
          <w:rStyle w:val="apple-converted-space"/>
          <w:rFonts w:ascii="Arial" w:hAnsi="Arial" w:cs="Arial"/>
          <w:b/>
          <w:bCs/>
          <w:color w:val="000000"/>
          <w:sz w:val="22"/>
          <w:szCs w:val="22"/>
        </w:rPr>
        <w:t> </w:t>
      </w:r>
      <w:r>
        <w:rPr>
          <w:rFonts w:ascii="Arial" w:hAnsi="Arial" w:cs="Arial"/>
          <w:b/>
          <w:bCs/>
          <w:color w:val="000000"/>
          <w:sz w:val="22"/>
          <w:szCs w:val="22"/>
        </w:rPr>
        <w:t>Ordina a Mediaset SpA di sostenere i propri costi e di pagare i costi della Commissione europea e di Sky Ita</w:t>
      </w:r>
      <w:r>
        <w:rPr>
          <w:rFonts w:ascii="Arial" w:hAnsi="Arial" w:cs="Arial"/>
          <w:b/>
          <w:bCs/>
          <w:color w:val="000000"/>
          <w:sz w:val="22"/>
          <w:szCs w:val="22"/>
        </w:rPr>
        <w:t>lia Srl.</w:t>
      </w:r>
    </w:p>
    <w:p w14:paraId="3CC9425D" w14:textId="77777777" w:rsidR="00A2736D" w:rsidRPr="007B6988" w:rsidRDefault="00A2736D" w:rsidP="007B6988"/>
    <w:sectPr w:rsidR="00A2736D" w:rsidRPr="007B698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988"/>
    <w:rsid w:val="003B7D4C"/>
    <w:rsid w:val="0052143F"/>
    <w:rsid w:val="007B6988"/>
    <w:rsid w:val="00A2736D"/>
    <w:rsid w:val="00E61C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795B1AFA"/>
  <w15:chartTrackingRefBased/>
  <w15:docId w15:val="{253B2D01-26CA-A243-AD2E-58AA52AA6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19centre">
    <w:name w:val="c19centre"/>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71indicateur">
    <w:name w:val="c71indicateur"/>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2alineaalta">
    <w:name w:val="c02alineaalta"/>
    <w:basedOn w:val="Normale"/>
    <w:rsid w:val="007B6988"/>
    <w:pPr>
      <w:spacing w:before="100" w:beforeAutospacing="1" w:after="100" w:afterAutospacing="1"/>
    </w:pPr>
    <w:rPr>
      <w:rFonts w:ascii="Times New Roman" w:eastAsia="Times New Roman" w:hAnsi="Times New Roman" w:cs="Times New Roman"/>
      <w:lang w:eastAsia="it-IT"/>
    </w:rPr>
  </w:style>
  <w:style w:type="character" w:customStyle="1" w:styleId="apple-converted-space">
    <w:name w:val="apple-converted-space"/>
    <w:basedOn w:val="Carpredefinitoparagrafo"/>
    <w:rsid w:val="007B6988"/>
  </w:style>
  <w:style w:type="paragraph" w:customStyle="1" w:styleId="c72alineadroite">
    <w:name w:val="c72alineadroite"/>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75debutdesmotifs">
    <w:name w:val="c75debutdesmotifs"/>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1pointnumerotealtn">
    <w:name w:val="c01pointnumerotealtn"/>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4titre1">
    <w:name w:val="c04titre1"/>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3tiretlong">
    <w:name w:val="c03tiretlong"/>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5titre2">
    <w:name w:val="c05titre2"/>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6titre3">
    <w:name w:val="c06titre3"/>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41dispositifintroduction">
    <w:name w:val="c41dispositifintroduction"/>
    <w:basedOn w:val="Normale"/>
    <w:rsid w:val="007B6988"/>
    <w:pPr>
      <w:spacing w:before="100" w:beforeAutospacing="1" w:after="100" w:afterAutospacing="1"/>
    </w:pPr>
    <w:rPr>
      <w:rFonts w:ascii="Times New Roman" w:eastAsia="Times New Roman" w:hAnsi="Times New Roman" w:cs="Times New Roman"/>
      <w:lang w:eastAsia="it-IT"/>
    </w:rPr>
  </w:style>
  <w:style w:type="paragraph" w:customStyle="1" w:styleId="c08dispositif">
    <w:name w:val="c08dispositif"/>
    <w:basedOn w:val="Normale"/>
    <w:rsid w:val="007B6988"/>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12770</Words>
  <Characters>72791</Characters>
  <Application>Microsoft Office Word</Application>
  <DocSecurity>0</DocSecurity>
  <Lines>606</Lines>
  <Paragraphs>170</Paragraphs>
  <ScaleCrop>false</ScaleCrop>
  <Company/>
  <LinksUpToDate>false</LinksUpToDate>
  <CharactersWithSpaces>85391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santoro</dc:creator>
  <cp:keywords/>
  <dc:description/>
  <cp:lastModifiedBy/>
  <cp:revision>1</cp:revision>
  <dcterms:created xsi:type="dcterms:W3CDTF">2023-03-07T09:15:00Z</dcterms:created>
</cp:coreProperties>
</file>